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12232" w14:textId="022CC97E" w:rsidR="004A7B8C" w:rsidRPr="00D1084B" w:rsidRDefault="004A7B8C" w:rsidP="004A7B8C">
      <w:pPr>
        <w:pStyle w:val="StyleHeading1TextLeft0Hanging025"/>
        <w:ind w:left="0" w:firstLine="0"/>
        <w:rPr>
          <w:color w:val="000000" w:themeColor="text1"/>
          <w:sz w:val="26"/>
          <w:szCs w:val="26"/>
        </w:rPr>
      </w:pPr>
      <w:r w:rsidRPr="00D1084B">
        <w:rPr>
          <w:color w:val="000000" w:themeColor="text1"/>
          <w:sz w:val="26"/>
          <w:szCs w:val="26"/>
        </w:rPr>
        <w:t>During the period January 202</w:t>
      </w:r>
      <w:r w:rsidR="00B423A4">
        <w:rPr>
          <w:color w:val="000000" w:themeColor="text1"/>
          <w:sz w:val="26"/>
          <w:szCs w:val="26"/>
        </w:rPr>
        <w:t>4</w:t>
      </w:r>
      <w:r w:rsidRPr="00D1084B">
        <w:rPr>
          <w:color w:val="000000" w:themeColor="text1"/>
          <w:sz w:val="26"/>
          <w:szCs w:val="26"/>
        </w:rPr>
        <w:t xml:space="preserve"> through December 202</w:t>
      </w:r>
      <w:r w:rsidR="00B423A4">
        <w:rPr>
          <w:color w:val="000000" w:themeColor="text1"/>
          <w:sz w:val="26"/>
          <w:szCs w:val="26"/>
        </w:rPr>
        <w:t>5</w:t>
      </w:r>
      <w:r w:rsidRPr="00D1084B">
        <w:rPr>
          <w:color w:val="000000" w:themeColor="text1"/>
          <w:sz w:val="26"/>
          <w:szCs w:val="26"/>
        </w:rPr>
        <w:t>, SCE forecasts:</w:t>
      </w:r>
    </w:p>
    <w:p w14:paraId="7169B84B" w14:textId="76D3A9B3" w:rsidR="004A7B8C" w:rsidRPr="00D1084B" w:rsidRDefault="004A7B8C" w:rsidP="004A7B8C">
      <w:pPr>
        <w:pStyle w:val="StyleHeading1TextLeft0Hanging025"/>
        <w:ind w:left="1074" w:hanging="444"/>
        <w:rPr>
          <w:color w:val="000000" w:themeColor="text1"/>
          <w:sz w:val="26"/>
          <w:szCs w:val="26"/>
        </w:rPr>
      </w:pPr>
      <w:r w:rsidRPr="00D1084B">
        <w:rPr>
          <w:color w:val="000000" w:themeColor="text1"/>
          <w:sz w:val="26"/>
          <w:szCs w:val="26"/>
        </w:rPr>
        <w:t>•</w:t>
      </w:r>
      <w:r w:rsidRPr="00D1084B">
        <w:rPr>
          <w:color w:val="000000" w:themeColor="text1"/>
          <w:sz w:val="26"/>
          <w:szCs w:val="26"/>
        </w:rPr>
        <w:tab/>
        <w:t>$</w:t>
      </w:r>
      <w:r w:rsidR="00D766EA">
        <w:rPr>
          <w:color w:val="000000" w:themeColor="text1"/>
          <w:sz w:val="26"/>
          <w:szCs w:val="26"/>
        </w:rPr>
        <w:t>618</w:t>
      </w:r>
      <w:r w:rsidRPr="00D1084B">
        <w:rPr>
          <w:color w:val="000000" w:themeColor="text1"/>
          <w:sz w:val="26"/>
          <w:szCs w:val="26"/>
        </w:rPr>
        <w:t xml:space="preserve"> million in ISO non-incentive network transmission projected to go into rate base (including $3</w:t>
      </w:r>
      <w:r w:rsidR="00764B59">
        <w:rPr>
          <w:color w:val="000000" w:themeColor="text1"/>
          <w:sz w:val="26"/>
          <w:szCs w:val="26"/>
        </w:rPr>
        <w:t>0</w:t>
      </w:r>
      <w:r>
        <w:rPr>
          <w:color w:val="000000" w:themeColor="text1"/>
          <w:sz w:val="26"/>
          <w:szCs w:val="26"/>
        </w:rPr>
        <w:t>6</w:t>
      </w:r>
      <w:r w:rsidRPr="00D1084B">
        <w:rPr>
          <w:color w:val="000000" w:themeColor="text1"/>
          <w:sz w:val="26"/>
          <w:szCs w:val="26"/>
        </w:rPr>
        <w:t xml:space="preserve"> million in ISO Blanket-Specifics),  </w:t>
      </w:r>
    </w:p>
    <w:p w14:paraId="7FD0172B" w14:textId="39803957" w:rsidR="004A7B8C" w:rsidRPr="00D1084B" w:rsidRDefault="004A7B8C" w:rsidP="004A7B8C">
      <w:pPr>
        <w:pStyle w:val="StyleHeading1TextLeft0Hanging025"/>
        <w:numPr>
          <w:ilvl w:val="0"/>
          <w:numId w:val="1"/>
        </w:numPr>
        <w:ind w:hanging="450"/>
        <w:rPr>
          <w:color w:val="000000" w:themeColor="text1"/>
          <w:sz w:val="26"/>
          <w:szCs w:val="26"/>
        </w:rPr>
      </w:pPr>
      <w:r w:rsidRPr="00D1084B">
        <w:rPr>
          <w:color w:val="000000" w:themeColor="text1"/>
          <w:sz w:val="26"/>
          <w:szCs w:val="26"/>
        </w:rPr>
        <w:t>$</w:t>
      </w:r>
      <w:r w:rsidR="00022536">
        <w:rPr>
          <w:color w:val="000000" w:themeColor="text1"/>
          <w:sz w:val="26"/>
          <w:szCs w:val="26"/>
        </w:rPr>
        <w:t>69</w:t>
      </w:r>
      <w:r w:rsidRPr="00D1084B">
        <w:rPr>
          <w:color w:val="000000" w:themeColor="text1"/>
          <w:sz w:val="26"/>
          <w:szCs w:val="26"/>
        </w:rPr>
        <w:t xml:space="preserve"> million in FERC incentive rate qualified CWIP expenditures, and</w:t>
      </w:r>
    </w:p>
    <w:p w14:paraId="6D15CB9F" w14:textId="4C880287" w:rsidR="004A7B8C" w:rsidRPr="00D1084B" w:rsidRDefault="004A7B8C" w:rsidP="004A7B8C">
      <w:pPr>
        <w:pStyle w:val="StyleHeading1TextLeft0Hanging025"/>
        <w:numPr>
          <w:ilvl w:val="0"/>
          <w:numId w:val="1"/>
        </w:numPr>
        <w:ind w:hanging="450"/>
        <w:rPr>
          <w:color w:val="000000" w:themeColor="text1"/>
          <w:sz w:val="26"/>
          <w:szCs w:val="26"/>
        </w:rPr>
      </w:pPr>
      <w:r w:rsidRPr="00D1084B">
        <w:rPr>
          <w:color w:val="000000" w:themeColor="text1"/>
          <w:sz w:val="26"/>
          <w:szCs w:val="26"/>
        </w:rPr>
        <w:t>$</w:t>
      </w:r>
      <w:r>
        <w:rPr>
          <w:color w:val="000000" w:themeColor="text1"/>
          <w:sz w:val="26"/>
          <w:szCs w:val="26"/>
        </w:rPr>
        <w:t>2</w:t>
      </w:r>
      <w:r w:rsidR="00022536">
        <w:rPr>
          <w:color w:val="000000" w:themeColor="text1"/>
          <w:sz w:val="26"/>
          <w:szCs w:val="26"/>
        </w:rPr>
        <w:t>80</w:t>
      </w:r>
      <w:r w:rsidRPr="00D1084B">
        <w:rPr>
          <w:color w:val="000000" w:themeColor="text1"/>
          <w:sz w:val="26"/>
          <w:szCs w:val="26"/>
        </w:rPr>
        <w:t xml:space="preserve"> million of CWIP Expenditures projected to go into rate base.</w:t>
      </w:r>
    </w:p>
    <w:p w14:paraId="55EE6A80" w14:textId="3D087D62" w:rsidR="00EE1FB9" w:rsidRDefault="004A7B8C" w:rsidP="00EE1FB9">
      <w:pPr>
        <w:pStyle w:val="StyleHeading1TextLeft0Hanging025"/>
        <w:ind w:left="0"/>
        <w:rPr>
          <w:color w:val="000000" w:themeColor="text1"/>
          <w:sz w:val="26"/>
          <w:szCs w:val="26"/>
        </w:rPr>
      </w:pPr>
      <w:r w:rsidRPr="00D1084B">
        <w:rPr>
          <w:color w:val="000000" w:themeColor="text1"/>
          <w:sz w:val="26"/>
          <w:szCs w:val="26"/>
        </w:rPr>
        <w:tab/>
        <w:t>In addition to the numerous but relatively small transmission projects, there are 3</w:t>
      </w:r>
      <w:r w:rsidR="00220213">
        <w:rPr>
          <w:color w:val="000000" w:themeColor="text1"/>
          <w:sz w:val="26"/>
          <w:szCs w:val="26"/>
        </w:rPr>
        <w:t>5</w:t>
      </w:r>
      <w:r w:rsidRPr="00D1084B">
        <w:rPr>
          <w:color w:val="000000" w:themeColor="text1"/>
          <w:sz w:val="26"/>
          <w:szCs w:val="26"/>
        </w:rPr>
        <w:t xml:space="preserve"> significant transmission projects (each $5 million or greater in ISO-related costs) that are projected to go into rate base during the forecast period January 202</w:t>
      </w:r>
      <w:r w:rsidR="00220213">
        <w:rPr>
          <w:color w:val="000000" w:themeColor="text1"/>
          <w:sz w:val="26"/>
          <w:szCs w:val="26"/>
        </w:rPr>
        <w:t>4</w:t>
      </w:r>
      <w:r w:rsidRPr="00D1084B">
        <w:rPr>
          <w:color w:val="000000" w:themeColor="text1"/>
          <w:sz w:val="26"/>
          <w:szCs w:val="26"/>
        </w:rPr>
        <w:t xml:space="preserve"> through December 202</w:t>
      </w:r>
      <w:r w:rsidR="00220213">
        <w:rPr>
          <w:color w:val="000000" w:themeColor="text1"/>
          <w:sz w:val="26"/>
          <w:szCs w:val="26"/>
        </w:rPr>
        <w:t>5</w:t>
      </w:r>
      <w:r w:rsidRPr="00D1084B">
        <w:rPr>
          <w:color w:val="000000" w:themeColor="text1"/>
          <w:sz w:val="26"/>
          <w:szCs w:val="26"/>
        </w:rPr>
        <w:t xml:space="preserve"> – 1</w:t>
      </w:r>
      <w:r w:rsidR="00912798">
        <w:rPr>
          <w:color w:val="000000" w:themeColor="text1"/>
          <w:sz w:val="26"/>
          <w:szCs w:val="26"/>
        </w:rPr>
        <w:t>8</w:t>
      </w:r>
      <w:r w:rsidRPr="00D1084B">
        <w:rPr>
          <w:color w:val="000000" w:themeColor="text1"/>
          <w:sz w:val="26"/>
          <w:szCs w:val="26"/>
        </w:rPr>
        <w:t xml:space="preserve"> Blanket-Specifics (items 1 through 1</w:t>
      </w:r>
      <w:r w:rsidR="00912798">
        <w:rPr>
          <w:color w:val="000000" w:themeColor="text1"/>
          <w:sz w:val="26"/>
          <w:szCs w:val="26"/>
        </w:rPr>
        <w:t>8</w:t>
      </w:r>
      <w:r w:rsidRPr="00D1084B">
        <w:rPr>
          <w:color w:val="000000" w:themeColor="text1"/>
          <w:sz w:val="26"/>
          <w:szCs w:val="26"/>
        </w:rPr>
        <w:t xml:space="preserve"> below), </w:t>
      </w:r>
      <w:r w:rsidR="001309B8">
        <w:rPr>
          <w:color w:val="000000" w:themeColor="text1"/>
          <w:sz w:val="26"/>
          <w:szCs w:val="26"/>
        </w:rPr>
        <w:t>14</w:t>
      </w:r>
      <w:r w:rsidRPr="00D1084B">
        <w:rPr>
          <w:color w:val="000000" w:themeColor="text1"/>
          <w:sz w:val="26"/>
          <w:szCs w:val="26"/>
        </w:rPr>
        <w:t xml:space="preserve"> Specific non-incentive projects (items </w:t>
      </w:r>
      <w:r w:rsidR="001309B8">
        <w:rPr>
          <w:color w:val="000000" w:themeColor="text1"/>
          <w:sz w:val="26"/>
          <w:szCs w:val="26"/>
        </w:rPr>
        <w:t>19</w:t>
      </w:r>
      <w:r w:rsidRPr="00D1084B">
        <w:rPr>
          <w:color w:val="000000" w:themeColor="text1"/>
          <w:sz w:val="26"/>
          <w:szCs w:val="26"/>
        </w:rPr>
        <w:t xml:space="preserve"> through </w:t>
      </w:r>
      <w:r w:rsidR="00071317">
        <w:rPr>
          <w:color w:val="000000" w:themeColor="text1"/>
          <w:sz w:val="26"/>
          <w:szCs w:val="26"/>
        </w:rPr>
        <w:t>32</w:t>
      </w:r>
      <w:r w:rsidRPr="00D1084B">
        <w:rPr>
          <w:color w:val="000000" w:themeColor="text1"/>
          <w:sz w:val="26"/>
          <w:szCs w:val="26"/>
        </w:rPr>
        <w:t xml:space="preserve">), and three Specific incentive projects (items </w:t>
      </w:r>
      <w:r w:rsidR="00071317">
        <w:rPr>
          <w:color w:val="000000" w:themeColor="text1"/>
          <w:sz w:val="26"/>
          <w:szCs w:val="26"/>
        </w:rPr>
        <w:t>33</w:t>
      </w:r>
      <w:r w:rsidRPr="00D1084B">
        <w:rPr>
          <w:color w:val="000000" w:themeColor="text1"/>
          <w:sz w:val="26"/>
          <w:szCs w:val="26"/>
        </w:rPr>
        <w:t xml:space="preserve"> through 3</w:t>
      </w:r>
      <w:r w:rsidR="00071317">
        <w:rPr>
          <w:color w:val="000000" w:themeColor="text1"/>
          <w:sz w:val="26"/>
          <w:szCs w:val="26"/>
        </w:rPr>
        <w:t>5</w:t>
      </w:r>
      <w:r w:rsidRPr="00D1084B">
        <w:rPr>
          <w:color w:val="000000" w:themeColor="text1"/>
          <w:sz w:val="26"/>
          <w:szCs w:val="26"/>
        </w:rPr>
        <w:t xml:space="preserve"> below).  These projects will increase the reliability of the ISO transmission grid, increase access to new generation resources to serve the ISO market, and/or provide congestion relief.  SCE’s Formula Protocols, Section 3(a) specifies that SCE will provide work papers detailing specific information regarding its capital forecast.  </w:t>
      </w:r>
    </w:p>
    <w:p w14:paraId="17940B9B" w14:textId="77777777" w:rsidR="0047167A" w:rsidRDefault="0047167A" w:rsidP="00EE1FB9">
      <w:pPr>
        <w:pStyle w:val="StyleHeading1TextLeft0Hanging025"/>
        <w:ind w:left="0"/>
        <w:rPr>
          <w:color w:val="000000" w:themeColor="text1"/>
          <w:sz w:val="26"/>
          <w:szCs w:val="26"/>
        </w:rPr>
      </w:pPr>
    </w:p>
    <w:tbl>
      <w:tblPr>
        <w:tblStyle w:val="TableGrid"/>
        <w:tblW w:w="0" w:type="auto"/>
        <w:tblInd w:w="576" w:type="dxa"/>
        <w:tblLayout w:type="fixed"/>
        <w:tblLook w:val="04A0" w:firstRow="1" w:lastRow="0" w:firstColumn="1" w:lastColumn="0" w:noHBand="0" w:noVBand="1"/>
      </w:tblPr>
      <w:tblGrid>
        <w:gridCol w:w="8784"/>
      </w:tblGrid>
      <w:tr w:rsidR="0047167A" w:rsidRPr="00D1084B" w14:paraId="10474706" w14:textId="77777777">
        <w:trPr>
          <w:trHeight w:val="234"/>
        </w:trPr>
        <w:tc>
          <w:tcPr>
            <w:tcW w:w="8784" w:type="dxa"/>
            <w:tcBorders>
              <w:top w:val="nil"/>
              <w:left w:val="nil"/>
              <w:bottom w:val="nil"/>
              <w:right w:val="nil"/>
            </w:tcBorders>
            <w:vAlign w:val="bottom"/>
          </w:tcPr>
          <w:p w14:paraId="498BB90F" w14:textId="77777777" w:rsidR="0047167A" w:rsidRPr="00D1084B" w:rsidRDefault="0047167A">
            <w:pPr>
              <w:tabs>
                <w:tab w:val="left" w:pos="583"/>
              </w:tabs>
              <w:ind w:left="466" w:hanging="466"/>
              <w:jc w:val="center"/>
              <w:rPr>
                <w:rFonts w:ascii="Times New Roman" w:eastAsia="GulimChe" w:hAnsi="Times New Roman"/>
                <w:b/>
                <w:bCs/>
                <w:color w:val="000000"/>
                <w:lang w:eastAsia="ko-KR"/>
              </w:rPr>
            </w:pPr>
            <w:r w:rsidRPr="00D1084B">
              <w:rPr>
                <w:rFonts w:ascii="Times New Roman" w:eastAsia="GulimChe" w:hAnsi="Times New Roman"/>
                <w:b/>
                <w:bCs/>
                <w:color w:val="000000"/>
                <w:lang w:eastAsia="ko-KR"/>
              </w:rPr>
              <w:t>Table 1</w:t>
            </w:r>
          </w:p>
        </w:tc>
      </w:tr>
      <w:tr w:rsidR="0047167A" w:rsidRPr="00D1084B" w14:paraId="55258795" w14:textId="77777777">
        <w:tc>
          <w:tcPr>
            <w:tcW w:w="8784" w:type="dxa"/>
            <w:tcBorders>
              <w:top w:val="nil"/>
              <w:left w:val="nil"/>
              <w:bottom w:val="nil"/>
              <w:right w:val="nil"/>
            </w:tcBorders>
          </w:tcPr>
          <w:p w14:paraId="197C6B1A" w14:textId="309A06A6" w:rsidR="0047167A" w:rsidRPr="00D1084B" w:rsidRDefault="0047167A">
            <w:pPr>
              <w:tabs>
                <w:tab w:val="left" w:pos="583"/>
              </w:tabs>
              <w:ind w:left="466" w:hanging="466"/>
              <w:jc w:val="center"/>
              <w:rPr>
                <w:rFonts w:ascii="Times New Roman" w:eastAsia="GulimChe" w:hAnsi="Times New Roman"/>
                <w:b/>
                <w:bCs/>
                <w:color w:val="000000"/>
                <w:lang w:eastAsia="ko-KR"/>
              </w:rPr>
            </w:pPr>
            <w:r w:rsidRPr="00D1084B">
              <w:rPr>
                <w:rFonts w:ascii="Times New Roman" w:eastAsia="GulimChe" w:hAnsi="Times New Roman"/>
                <w:b/>
                <w:bCs/>
                <w:color w:val="000000"/>
                <w:lang w:eastAsia="ko-KR"/>
              </w:rPr>
              <w:t>Forecast Direct Capital Expenditures Projected to Go into Rate Base between 202</w:t>
            </w:r>
            <w:r w:rsidR="00CA3B73">
              <w:rPr>
                <w:rFonts w:ascii="Times New Roman" w:eastAsia="GulimChe" w:hAnsi="Times New Roman"/>
                <w:b/>
                <w:bCs/>
                <w:color w:val="000000"/>
                <w:lang w:eastAsia="ko-KR"/>
              </w:rPr>
              <w:t>4</w:t>
            </w:r>
            <w:r w:rsidRPr="00D1084B">
              <w:rPr>
                <w:rFonts w:ascii="Times New Roman" w:eastAsia="GulimChe" w:hAnsi="Times New Roman"/>
                <w:b/>
                <w:bCs/>
                <w:color w:val="000000"/>
                <w:lang w:eastAsia="ko-KR"/>
              </w:rPr>
              <w:t xml:space="preserve"> and 202</w:t>
            </w:r>
            <w:r w:rsidR="00CA3B73">
              <w:rPr>
                <w:rFonts w:ascii="Times New Roman" w:eastAsia="GulimChe" w:hAnsi="Times New Roman"/>
                <w:b/>
                <w:bCs/>
                <w:color w:val="000000"/>
                <w:lang w:eastAsia="ko-KR"/>
              </w:rPr>
              <w:t>5</w:t>
            </w:r>
          </w:p>
        </w:tc>
      </w:tr>
      <w:tr w:rsidR="0047167A" w:rsidRPr="00D1084B" w14:paraId="76596451" w14:textId="77777777">
        <w:tc>
          <w:tcPr>
            <w:tcW w:w="8784" w:type="dxa"/>
            <w:tcBorders>
              <w:top w:val="nil"/>
              <w:left w:val="nil"/>
              <w:bottom w:val="nil"/>
              <w:right w:val="nil"/>
            </w:tcBorders>
          </w:tcPr>
          <w:p w14:paraId="1BCF2F61" w14:textId="75BC1550" w:rsidR="0047167A" w:rsidRPr="00D1084B" w:rsidRDefault="0047167A">
            <w:pPr>
              <w:tabs>
                <w:tab w:val="left" w:pos="583"/>
              </w:tabs>
              <w:ind w:left="466" w:hanging="466"/>
              <w:jc w:val="center"/>
              <w:rPr>
                <w:rFonts w:ascii="Times New Roman" w:eastAsia="GulimChe" w:hAnsi="Times New Roman"/>
                <w:b/>
                <w:bCs/>
                <w:i/>
                <w:iCs/>
                <w:color w:val="000000"/>
                <w:lang w:eastAsia="ko-KR"/>
              </w:rPr>
            </w:pPr>
            <w:r w:rsidRPr="00D1084B">
              <w:rPr>
                <w:rFonts w:ascii="Times New Roman" w:eastAsia="GulimChe" w:hAnsi="Times New Roman"/>
                <w:b/>
                <w:bCs/>
                <w:i/>
                <w:iCs/>
                <w:color w:val="000000"/>
                <w:lang w:eastAsia="ko-KR"/>
              </w:rPr>
              <w:t>(Nominal $</w:t>
            </w:r>
            <w:r w:rsidR="006F5F9C">
              <w:rPr>
                <w:rFonts w:ascii="Times New Roman" w:eastAsia="GulimChe" w:hAnsi="Times New Roman"/>
                <w:b/>
                <w:bCs/>
                <w:i/>
                <w:iCs/>
                <w:color w:val="000000"/>
                <w:lang w:eastAsia="ko-KR"/>
              </w:rPr>
              <w:t>Thousands</w:t>
            </w:r>
            <w:r w:rsidRPr="00D1084B">
              <w:rPr>
                <w:rFonts w:ascii="Times New Roman" w:eastAsia="GulimChe" w:hAnsi="Times New Roman"/>
                <w:b/>
                <w:bCs/>
                <w:i/>
                <w:iCs/>
                <w:color w:val="000000"/>
                <w:lang w:eastAsia="ko-KR"/>
              </w:rPr>
              <w:t>)</w:t>
            </w:r>
          </w:p>
        </w:tc>
      </w:tr>
    </w:tbl>
    <w:tbl>
      <w:tblPr>
        <w:tblW w:w="10918" w:type="dxa"/>
        <w:tblLook w:val="04A0" w:firstRow="1" w:lastRow="0" w:firstColumn="1" w:lastColumn="0" w:noHBand="0" w:noVBand="1"/>
      </w:tblPr>
      <w:tblGrid>
        <w:gridCol w:w="511"/>
        <w:gridCol w:w="850"/>
        <w:gridCol w:w="5204"/>
        <w:gridCol w:w="1440"/>
        <w:gridCol w:w="1440"/>
        <w:gridCol w:w="1473"/>
      </w:tblGrid>
      <w:tr w:rsidR="00CA3B73" w:rsidRPr="00CA3B73" w14:paraId="0B5C2F17" w14:textId="77777777" w:rsidTr="101F757E">
        <w:trPr>
          <w:trHeight w:val="593"/>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EC3D8" w14:textId="77777777" w:rsidR="00CA3B73" w:rsidRPr="00CA3B73" w:rsidRDefault="00CA3B73" w:rsidP="00CA3B73">
            <w:pPr>
              <w:spacing w:after="0" w:line="240" w:lineRule="auto"/>
              <w:jc w:val="center"/>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No.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94BECEA" w14:textId="77777777" w:rsidR="00CA3B73" w:rsidRPr="00CA3B73" w:rsidRDefault="00CA3B73" w:rsidP="00CA3B73">
            <w:pPr>
              <w:spacing w:after="0" w:line="240" w:lineRule="auto"/>
              <w:jc w:val="center"/>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PIN</w:t>
            </w:r>
          </w:p>
        </w:tc>
        <w:tc>
          <w:tcPr>
            <w:tcW w:w="5204" w:type="dxa"/>
            <w:tcBorders>
              <w:top w:val="single" w:sz="4" w:space="0" w:color="auto"/>
              <w:left w:val="nil"/>
              <w:bottom w:val="single" w:sz="4" w:space="0" w:color="auto"/>
              <w:right w:val="single" w:sz="4" w:space="0" w:color="auto"/>
            </w:tcBorders>
            <w:shd w:val="clear" w:color="auto" w:fill="auto"/>
            <w:vAlign w:val="center"/>
            <w:hideMark/>
          </w:tcPr>
          <w:p w14:paraId="50CCB6BB" w14:textId="77777777" w:rsidR="00CA3B73" w:rsidRPr="00CA3B73" w:rsidRDefault="00CA3B73" w:rsidP="00CA3B73">
            <w:pPr>
              <w:spacing w:after="0" w:line="240" w:lineRule="auto"/>
              <w:jc w:val="center"/>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Project</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588B0916" w14:textId="77777777" w:rsidR="00CA3B73" w:rsidRPr="00CA3B73" w:rsidRDefault="00CA3B73" w:rsidP="00CA3B73">
            <w:pPr>
              <w:spacing w:after="0" w:line="240" w:lineRule="auto"/>
              <w:jc w:val="center"/>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FERC CWIP</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68E87312" w14:textId="77777777" w:rsidR="00CA3B73" w:rsidRPr="00CA3B73" w:rsidRDefault="00CA3B73" w:rsidP="00CA3B73">
            <w:pPr>
              <w:spacing w:after="0" w:line="240" w:lineRule="auto"/>
              <w:jc w:val="center"/>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 xml:space="preserve">FERC </w:t>
            </w:r>
            <w:proofErr w:type="gramStart"/>
            <w:r w:rsidRPr="00CA3B73">
              <w:rPr>
                <w:rFonts w:ascii="Times New Roman" w:eastAsia="Times New Roman" w:hAnsi="Times New Roman" w:cs="Times New Roman"/>
                <w:b/>
                <w:bCs/>
                <w:color w:val="000000"/>
                <w:kern w:val="0"/>
                <w:sz w:val="20"/>
                <w:szCs w:val="20"/>
                <w14:ligatures w14:val="none"/>
              </w:rPr>
              <w:t>Non-CWIP</w:t>
            </w:r>
            <w:proofErr w:type="gramEnd"/>
          </w:p>
        </w:tc>
        <w:tc>
          <w:tcPr>
            <w:tcW w:w="1473" w:type="dxa"/>
            <w:tcBorders>
              <w:top w:val="single" w:sz="4" w:space="0" w:color="auto"/>
              <w:left w:val="nil"/>
              <w:bottom w:val="single" w:sz="4" w:space="0" w:color="auto"/>
              <w:right w:val="single" w:sz="4" w:space="0" w:color="auto"/>
            </w:tcBorders>
            <w:shd w:val="clear" w:color="auto" w:fill="auto"/>
            <w:vAlign w:val="center"/>
            <w:hideMark/>
          </w:tcPr>
          <w:p w14:paraId="389370D3" w14:textId="77777777" w:rsidR="00CA3B73" w:rsidRPr="00CA3B73" w:rsidRDefault="00CA3B73" w:rsidP="00CA3B73">
            <w:pPr>
              <w:spacing w:after="0" w:line="240" w:lineRule="auto"/>
              <w:jc w:val="center"/>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Total</w:t>
            </w:r>
          </w:p>
        </w:tc>
      </w:tr>
      <w:tr w:rsidR="00CA3B73" w:rsidRPr="00CA3B73" w14:paraId="61A83D03"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6A873010"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w:t>
            </w:r>
          </w:p>
        </w:tc>
        <w:tc>
          <w:tcPr>
            <w:tcW w:w="850" w:type="dxa"/>
            <w:tcBorders>
              <w:top w:val="nil"/>
              <w:left w:val="nil"/>
              <w:bottom w:val="single" w:sz="4" w:space="0" w:color="auto"/>
              <w:right w:val="single" w:sz="4" w:space="0" w:color="auto"/>
            </w:tcBorders>
            <w:shd w:val="clear" w:color="auto" w:fill="auto"/>
            <w:noWrap/>
            <w:vAlign w:val="bottom"/>
            <w:hideMark/>
          </w:tcPr>
          <w:p w14:paraId="5F4BC42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3138</w:t>
            </w:r>
          </w:p>
        </w:tc>
        <w:tc>
          <w:tcPr>
            <w:tcW w:w="5204" w:type="dxa"/>
            <w:tcBorders>
              <w:top w:val="nil"/>
              <w:left w:val="nil"/>
              <w:bottom w:val="single" w:sz="4" w:space="0" w:color="auto"/>
              <w:right w:val="single" w:sz="4" w:space="0" w:color="auto"/>
            </w:tcBorders>
            <w:shd w:val="clear" w:color="auto" w:fill="auto"/>
            <w:noWrap/>
            <w:vAlign w:val="bottom"/>
            <w:hideMark/>
          </w:tcPr>
          <w:p w14:paraId="78B207E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Sylmar Convertor Station: Miscellaneous Capital Maintenance</w:t>
            </w:r>
          </w:p>
        </w:tc>
        <w:tc>
          <w:tcPr>
            <w:tcW w:w="1440" w:type="dxa"/>
            <w:tcBorders>
              <w:top w:val="nil"/>
              <w:left w:val="nil"/>
              <w:bottom w:val="single" w:sz="4" w:space="0" w:color="auto"/>
              <w:right w:val="single" w:sz="4" w:space="0" w:color="auto"/>
            </w:tcBorders>
            <w:shd w:val="clear" w:color="auto" w:fill="auto"/>
            <w:noWrap/>
            <w:vAlign w:val="bottom"/>
            <w:hideMark/>
          </w:tcPr>
          <w:p w14:paraId="60E61809"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7634F97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8,794 </w:t>
            </w:r>
          </w:p>
        </w:tc>
        <w:tc>
          <w:tcPr>
            <w:tcW w:w="1473" w:type="dxa"/>
            <w:tcBorders>
              <w:top w:val="nil"/>
              <w:left w:val="nil"/>
              <w:bottom w:val="single" w:sz="4" w:space="0" w:color="auto"/>
              <w:right w:val="single" w:sz="4" w:space="0" w:color="auto"/>
            </w:tcBorders>
            <w:shd w:val="clear" w:color="auto" w:fill="auto"/>
            <w:noWrap/>
            <w:vAlign w:val="bottom"/>
            <w:hideMark/>
          </w:tcPr>
          <w:p w14:paraId="69544A0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8,794 </w:t>
            </w:r>
          </w:p>
        </w:tc>
      </w:tr>
      <w:tr w:rsidR="00CA3B73" w:rsidRPr="00CA3B73" w14:paraId="77BA7678"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0E3999D3"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w:t>
            </w:r>
          </w:p>
        </w:tc>
        <w:tc>
          <w:tcPr>
            <w:tcW w:w="850" w:type="dxa"/>
            <w:tcBorders>
              <w:top w:val="nil"/>
              <w:left w:val="nil"/>
              <w:bottom w:val="single" w:sz="4" w:space="0" w:color="auto"/>
              <w:right w:val="single" w:sz="4" w:space="0" w:color="auto"/>
            </w:tcBorders>
            <w:shd w:val="clear" w:color="auto" w:fill="auto"/>
            <w:noWrap/>
            <w:vAlign w:val="bottom"/>
            <w:hideMark/>
          </w:tcPr>
          <w:p w14:paraId="52CEDF2F"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3362</w:t>
            </w:r>
          </w:p>
        </w:tc>
        <w:tc>
          <w:tcPr>
            <w:tcW w:w="5204" w:type="dxa"/>
            <w:tcBorders>
              <w:top w:val="nil"/>
              <w:left w:val="nil"/>
              <w:bottom w:val="single" w:sz="4" w:space="0" w:color="auto"/>
              <w:right w:val="single" w:sz="4" w:space="0" w:color="auto"/>
            </w:tcBorders>
            <w:shd w:val="clear" w:color="auto" w:fill="auto"/>
            <w:noWrap/>
            <w:vAlign w:val="bottom"/>
            <w:hideMark/>
          </w:tcPr>
          <w:p w14:paraId="6554FC5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Critical Infra Spare - FERC Spare Transformer Equipment Program (STEP)/ Emergency Spares</w:t>
            </w:r>
          </w:p>
        </w:tc>
        <w:tc>
          <w:tcPr>
            <w:tcW w:w="1440" w:type="dxa"/>
            <w:tcBorders>
              <w:top w:val="nil"/>
              <w:left w:val="nil"/>
              <w:bottom w:val="single" w:sz="4" w:space="0" w:color="auto"/>
              <w:right w:val="single" w:sz="4" w:space="0" w:color="auto"/>
            </w:tcBorders>
            <w:shd w:val="clear" w:color="auto" w:fill="auto"/>
            <w:noWrap/>
            <w:vAlign w:val="bottom"/>
            <w:hideMark/>
          </w:tcPr>
          <w:p w14:paraId="08628A6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76351C0"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8,611 </w:t>
            </w:r>
          </w:p>
        </w:tc>
        <w:tc>
          <w:tcPr>
            <w:tcW w:w="1473" w:type="dxa"/>
            <w:tcBorders>
              <w:top w:val="nil"/>
              <w:left w:val="nil"/>
              <w:bottom w:val="single" w:sz="4" w:space="0" w:color="auto"/>
              <w:right w:val="single" w:sz="4" w:space="0" w:color="auto"/>
            </w:tcBorders>
            <w:shd w:val="clear" w:color="auto" w:fill="auto"/>
            <w:noWrap/>
            <w:vAlign w:val="bottom"/>
            <w:hideMark/>
          </w:tcPr>
          <w:p w14:paraId="48441A8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8,611 </w:t>
            </w:r>
          </w:p>
        </w:tc>
      </w:tr>
      <w:tr w:rsidR="00CA3B73" w:rsidRPr="00CA3B73" w14:paraId="70DA50B0"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475FDA18"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w:t>
            </w:r>
          </w:p>
        </w:tc>
        <w:tc>
          <w:tcPr>
            <w:tcW w:w="850" w:type="dxa"/>
            <w:tcBorders>
              <w:top w:val="nil"/>
              <w:left w:val="nil"/>
              <w:bottom w:val="single" w:sz="4" w:space="0" w:color="auto"/>
              <w:right w:val="single" w:sz="4" w:space="0" w:color="auto"/>
            </w:tcBorders>
            <w:shd w:val="clear" w:color="auto" w:fill="auto"/>
            <w:noWrap/>
            <w:vAlign w:val="bottom"/>
            <w:hideMark/>
          </w:tcPr>
          <w:p w14:paraId="433EB857"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3363</w:t>
            </w:r>
          </w:p>
        </w:tc>
        <w:tc>
          <w:tcPr>
            <w:tcW w:w="5204" w:type="dxa"/>
            <w:tcBorders>
              <w:top w:val="nil"/>
              <w:left w:val="nil"/>
              <w:bottom w:val="single" w:sz="4" w:space="0" w:color="auto"/>
              <w:right w:val="single" w:sz="4" w:space="0" w:color="auto"/>
            </w:tcBorders>
            <w:shd w:val="clear" w:color="auto" w:fill="auto"/>
            <w:noWrap/>
            <w:vAlign w:val="bottom"/>
            <w:hideMark/>
          </w:tcPr>
          <w:p w14:paraId="5832B17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Substation Planned Maintenance Replacements</w:t>
            </w:r>
          </w:p>
        </w:tc>
        <w:tc>
          <w:tcPr>
            <w:tcW w:w="1440" w:type="dxa"/>
            <w:tcBorders>
              <w:top w:val="nil"/>
              <w:left w:val="nil"/>
              <w:bottom w:val="single" w:sz="4" w:space="0" w:color="auto"/>
              <w:right w:val="single" w:sz="4" w:space="0" w:color="auto"/>
            </w:tcBorders>
            <w:shd w:val="clear" w:color="auto" w:fill="auto"/>
            <w:noWrap/>
            <w:vAlign w:val="bottom"/>
            <w:hideMark/>
          </w:tcPr>
          <w:p w14:paraId="2BCF874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5385DFE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12,773 </w:t>
            </w:r>
          </w:p>
        </w:tc>
        <w:tc>
          <w:tcPr>
            <w:tcW w:w="1473" w:type="dxa"/>
            <w:tcBorders>
              <w:top w:val="nil"/>
              <w:left w:val="nil"/>
              <w:bottom w:val="single" w:sz="4" w:space="0" w:color="auto"/>
              <w:right w:val="single" w:sz="4" w:space="0" w:color="auto"/>
            </w:tcBorders>
            <w:shd w:val="clear" w:color="auto" w:fill="auto"/>
            <w:noWrap/>
            <w:vAlign w:val="bottom"/>
            <w:hideMark/>
          </w:tcPr>
          <w:p w14:paraId="51EC49D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12,773 </w:t>
            </w:r>
          </w:p>
        </w:tc>
      </w:tr>
      <w:tr w:rsidR="00CA3B73" w:rsidRPr="00CA3B73" w14:paraId="161712A9"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025672F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4</w:t>
            </w:r>
          </w:p>
        </w:tc>
        <w:tc>
          <w:tcPr>
            <w:tcW w:w="850" w:type="dxa"/>
            <w:tcBorders>
              <w:top w:val="nil"/>
              <w:left w:val="nil"/>
              <w:bottom w:val="single" w:sz="4" w:space="0" w:color="auto"/>
              <w:right w:val="single" w:sz="4" w:space="0" w:color="auto"/>
            </w:tcBorders>
            <w:shd w:val="clear" w:color="auto" w:fill="auto"/>
            <w:noWrap/>
            <w:vAlign w:val="bottom"/>
            <w:hideMark/>
          </w:tcPr>
          <w:p w14:paraId="498621E9"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3363</w:t>
            </w:r>
          </w:p>
        </w:tc>
        <w:tc>
          <w:tcPr>
            <w:tcW w:w="5204" w:type="dxa"/>
            <w:tcBorders>
              <w:top w:val="nil"/>
              <w:left w:val="nil"/>
              <w:bottom w:val="single" w:sz="4" w:space="0" w:color="auto"/>
              <w:right w:val="single" w:sz="4" w:space="0" w:color="auto"/>
            </w:tcBorders>
            <w:shd w:val="clear" w:color="auto" w:fill="auto"/>
            <w:noWrap/>
            <w:vAlign w:val="bottom"/>
            <w:hideMark/>
          </w:tcPr>
          <w:p w14:paraId="39CFC4D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Substation Unplanned Maintenance Replacements</w:t>
            </w:r>
          </w:p>
        </w:tc>
        <w:tc>
          <w:tcPr>
            <w:tcW w:w="1440" w:type="dxa"/>
            <w:tcBorders>
              <w:top w:val="nil"/>
              <w:left w:val="nil"/>
              <w:bottom w:val="single" w:sz="4" w:space="0" w:color="auto"/>
              <w:right w:val="single" w:sz="4" w:space="0" w:color="auto"/>
            </w:tcBorders>
            <w:shd w:val="clear" w:color="auto" w:fill="auto"/>
            <w:noWrap/>
            <w:vAlign w:val="bottom"/>
            <w:hideMark/>
          </w:tcPr>
          <w:p w14:paraId="72BFF4E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923189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13,191 </w:t>
            </w:r>
          </w:p>
        </w:tc>
        <w:tc>
          <w:tcPr>
            <w:tcW w:w="1473" w:type="dxa"/>
            <w:tcBorders>
              <w:top w:val="nil"/>
              <w:left w:val="nil"/>
              <w:bottom w:val="single" w:sz="4" w:space="0" w:color="auto"/>
              <w:right w:val="single" w:sz="4" w:space="0" w:color="auto"/>
            </w:tcBorders>
            <w:shd w:val="clear" w:color="auto" w:fill="auto"/>
            <w:noWrap/>
            <w:vAlign w:val="bottom"/>
            <w:hideMark/>
          </w:tcPr>
          <w:p w14:paraId="6273F8A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13,191 </w:t>
            </w:r>
          </w:p>
        </w:tc>
      </w:tr>
      <w:tr w:rsidR="00CA3B73" w:rsidRPr="00CA3B73" w14:paraId="2B2DBC70"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0E3397C4"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5</w:t>
            </w:r>
          </w:p>
        </w:tc>
        <w:tc>
          <w:tcPr>
            <w:tcW w:w="850" w:type="dxa"/>
            <w:tcBorders>
              <w:top w:val="nil"/>
              <w:left w:val="nil"/>
              <w:bottom w:val="single" w:sz="4" w:space="0" w:color="auto"/>
              <w:right w:val="single" w:sz="4" w:space="0" w:color="auto"/>
            </w:tcBorders>
            <w:shd w:val="clear" w:color="auto" w:fill="auto"/>
            <w:noWrap/>
            <w:vAlign w:val="bottom"/>
            <w:hideMark/>
          </w:tcPr>
          <w:p w14:paraId="6C5200C8"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3364</w:t>
            </w:r>
          </w:p>
        </w:tc>
        <w:tc>
          <w:tcPr>
            <w:tcW w:w="5204" w:type="dxa"/>
            <w:tcBorders>
              <w:top w:val="nil"/>
              <w:left w:val="nil"/>
              <w:bottom w:val="single" w:sz="4" w:space="0" w:color="auto"/>
              <w:right w:val="single" w:sz="4" w:space="0" w:color="auto"/>
            </w:tcBorders>
            <w:shd w:val="clear" w:color="auto" w:fill="auto"/>
            <w:noWrap/>
            <w:vAlign w:val="bottom"/>
            <w:hideMark/>
          </w:tcPr>
          <w:p w14:paraId="20F4FCE8"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Transmission Deteriorated Pole Replacement &amp; Restoration</w:t>
            </w:r>
          </w:p>
        </w:tc>
        <w:tc>
          <w:tcPr>
            <w:tcW w:w="1440" w:type="dxa"/>
            <w:tcBorders>
              <w:top w:val="nil"/>
              <w:left w:val="nil"/>
              <w:bottom w:val="single" w:sz="4" w:space="0" w:color="auto"/>
              <w:right w:val="single" w:sz="4" w:space="0" w:color="auto"/>
            </w:tcBorders>
            <w:shd w:val="clear" w:color="auto" w:fill="auto"/>
            <w:noWrap/>
            <w:vAlign w:val="bottom"/>
            <w:hideMark/>
          </w:tcPr>
          <w:p w14:paraId="71971AAF"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CE7939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15,992 </w:t>
            </w:r>
          </w:p>
        </w:tc>
        <w:tc>
          <w:tcPr>
            <w:tcW w:w="1473" w:type="dxa"/>
            <w:tcBorders>
              <w:top w:val="nil"/>
              <w:left w:val="nil"/>
              <w:bottom w:val="single" w:sz="4" w:space="0" w:color="auto"/>
              <w:right w:val="single" w:sz="4" w:space="0" w:color="auto"/>
            </w:tcBorders>
            <w:shd w:val="clear" w:color="auto" w:fill="auto"/>
            <w:noWrap/>
            <w:vAlign w:val="bottom"/>
            <w:hideMark/>
          </w:tcPr>
          <w:p w14:paraId="6B154CB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15,992 </w:t>
            </w:r>
          </w:p>
        </w:tc>
      </w:tr>
      <w:tr w:rsidR="00CA3B73" w:rsidRPr="00CA3B73" w14:paraId="06E1BF78"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14A2DD25"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6</w:t>
            </w:r>
          </w:p>
        </w:tc>
        <w:tc>
          <w:tcPr>
            <w:tcW w:w="850" w:type="dxa"/>
            <w:tcBorders>
              <w:top w:val="nil"/>
              <w:left w:val="nil"/>
              <w:bottom w:val="single" w:sz="4" w:space="0" w:color="auto"/>
              <w:right w:val="single" w:sz="4" w:space="0" w:color="auto"/>
            </w:tcBorders>
            <w:shd w:val="clear" w:color="auto" w:fill="auto"/>
            <w:noWrap/>
            <w:vAlign w:val="bottom"/>
            <w:hideMark/>
          </w:tcPr>
          <w:p w14:paraId="470AA0B8"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3364</w:t>
            </w:r>
          </w:p>
        </w:tc>
        <w:tc>
          <w:tcPr>
            <w:tcW w:w="5204" w:type="dxa"/>
            <w:tcBorders>
              <w:top w:val="nil"/>
              <w:left w:val="nil"/>
              <w:bottom w:val="single" w:sz="4" w:space="0" w:color="auto"/>
              <w:right w:val="single" w:sz="4" w:space="0" w:color="auto"/>
            </w:tcBorders>
            <w:shd w:val="clear" w:color="auto" w:fill="auto"/>
            <w:noWrap/>
            <w:vAlign w:val="bottom"/>
            <w:hideMark/>
          </w:tcPr>
          <w:p w14:paraId="7DC4893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Transmission Grid-Based Maintenance</w:t>
            </w:r>
          </w:p>
        </w:tc>
        <w:tc>
          <w:tcPr>
            <w:tcW w:w="1440" w:type="dxa"/>
            <w:tcBorders>
              <w:top w:val="nil"/>
              <w:left w:val="nil"/>
              <w:bottom w:val="single" w:sz="4" w:space="0" w:color="auto"/>
              <w:right w:val="single" w:sz="4" w:space="0" w:color="auto"/>
            </w:tcBorders>
            <w:shd w:val="clear" w:color="auto" w:fill="auto"/>
            <w:noWrap/>
            <w:vAlign w:val="bottom"/>
            <w:hideMark/>
          </w:tcPr>
          <w:p w14:paraId="77D1AD3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1EE2E4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5,489 </w:t>
            </w:r>
          </w:p>
        </w:tc>
        <w:tc>
          <w:tcPr>
            <w:tcW w:w="1473" w:type="dxa"/>
            <w:tcBorders>
              <w:top w:val="nil"/>
              <w:left w:val="nil"/>
              <w:bottom w:val="single" w:sz="4" w:space="0" w:color="auto"/>
              <w:right w:val="single" w:sz="4" w:space="0" w:color="auto"/>
            </w:tcBorders>
            <w:shd w:val="clear" w:color="auto" w:fill="auto"/>
            <w:noWrap/>
            <w:vAlign w:val="bottom"/>
            <w:hideMark/>
          </w:tcPr>
          <w:p w14:paraId="697349C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5,489 </w:t>
            </w:r>
          </w:p>
        </w:tc>
      </w:tr>
      <w:tr w:rsidR="00CA3B73" w:rsidRPr="00CA3B73" w14:paraId="6EC3FED8"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1D7B1B37"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w:t>
            </w:r>
          </w:p>
        </w:tc>
        <w:tc>
          <w:tcPr>
            <w:tcW w:w="850" w:type="dxa"/>
            <w:tcBorders>
              <w:top w:val="nil"/>
              <w:left w:val="nil"/>
              <w:bottom w:val="single" w:sz="4" w:space="0" w:color="auto"/>
              <w:right w:val="single" w:sz="4" w:space="0" w:color="auto"/>
            </w:tcBorders>
            <w:shd w:val="clear" w:color="auto" w:fill="auto"/>
            <w:noWrap/>
            <w:vAlign w:val="bottom"/>
            <w:hideMark/>
          </w:tcPr>
          <w:p w14:paraId="16CFBE70"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3364</w:t>
            </w:r>
          </w:p>
        </w:tc>
        <w:tc>
          <w:tcPr>
            <w:tcW w:w="5204" w:type="dxa"/>
            <w:tcBorders>
              <w:top w:val="nil"/>
              <w:left w:val="nil"/>
              <w:bottom w:val="single" w:sz="4" w:space="0" w:color="auto"/>
              <w:right w:val="single" w:sz="4" w:space="0" w:color="auto"/>
            </w:tcBorders>
            <w:shd w:val="clear" w:color="auto" w:fill="auto"/>
            <w:noWrap/>
            <w:vAlign w:val="bottom"/>
            <w:hideMark/>
          </w:tcPr>
          <w:p w14:paraId="3AC97DAB"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Transmission Small Civil</w:t>
            </w:r>
          </w:p>
        </w:tc>
        <w:tc>
          <w:tcPr>
            <w:tcW w:w="1440" w:type="dxa"/>
            <w:tcBorders>
              <w:top w:val="nil"/>
              <w:left w:val="nil"/>
              <w:bottom w:val="single" w:sz="4" w:space="0" w:color="auto"/>
              <w:right w:val="single" w:sz="4" w:space="0" w:color="auto"/>
            </w:tcBorders>
            <w:shd w:val="clear" w:color="auto" w:fill="auto"/>
            <w:noWrap/>
            <w:vAlign w:val="bottom"/>
            <w:hideMark/>
          </w:tcPr>
          <w:p w14:paraId="5EE6DEB0"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59F9F069"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8,024 </w:t>
            </w:r>
          </w:p>
        </w:tc>
        <w:tc>
          <w:tcPr>
            <w:tcW w:w="1473" w:type="dxa"/>
            <w:tcBorders>
              <w:top w:val="nil"/>
              <w:left w:val="nil"/>
              <w:bottom w:val="single" w:sz="4" w:space="0" w:color="auto"/>
              <w:right w:val="single" w:sz="4" w:space="0" w:color="auto"/>
            </w:tcBorders>
            <w:shd w:val="clear" w:color="auto" w:fill="auto"/>
            <w:noWrap/>
            <w:vAlign w:val="bottom"/>
            <w:hideMark/>
          </w:tcPr>
          <w:p w14:paraId="6488CA4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8,024 </w:t>
            </w:r>
          </w:p>
        </w:tc>
      </w:tr>
      <w:tr w:rsidR="00CA3B73" w:rsidRPr="00CA3B73" w14:paraId="6BD46F90"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70149F80"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w:t>
            </w:r>
          </w:p>
        </w:tc>
        <w:tc>
          <w:tcPr>
            <w:tcW w:w="850" w:type="dxa"/>
            <w:tcBorders>
              <w:top w:val="nil"/>
              <w:left w:val="nil"/>
              <w:bottom w:val="single" w:sz="4" w:space="0" w:color="auto"/>
              <w:right w:val="single" w:sz="4" w:space="0" w:color="auto"/>
            </w:tcBorders>
            <w:shd w:val="clear" w:color="auto" w:fill="auto"/>
            <w:noWrap/>
            <w:vAlign w:val="bottom"/>
            <w:hideMark/>
          </w:tcPr>
          <w:p w14:paraId="6237D53A"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3364</w:t>
            </w:r>
          </w:p>
        </w:tc>
        <w:tc>
          <w:tcPr>
            <w:tcW w:w="5204" w:type="dxa"/>
            <w:tcBorders>
              <w:top w:val="nil"/>
              <w:left w:val="nil"/>
              <w:bottom w:val="single" w:sz="4" w:space="0" w:color="auto"/>
              <w:right w:val="single" w:sz="4" w:space="0" w:color="auto"/>
            </w:tcBorders>
            <w:shd w:val="clear" w:color="auto" w:fill="auto"/>
            <w:noWrap/>
            <w:vAlign w:val="bottom"/>
            <w:hideMark/>
          </w:tcPr>
          <w:p w14:paraId="12FC0949"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Transmission Tower Corrosion Program</w:t>
            </w:r>
          </w:p>
        </w:tc>
        <w:tc>
          <w:tcPr>
            <w:tcW w:w="1440" w:type="dxa"/>
            <w:tcBorders>
              <w:top w:val="nil"/>
              <w:left w:val="nil"/>
              <w:bottom w:val="single" w:sz="4" w:space="0" w:color="auto"/>
              <w:right w:val="single" w:sz="4" w:space="0" w:color="auto"/>
            </w:tcBorders>
            <w:shd w:val="clear" w:color="auto" w:fill="auto"/>
            <w:noWrap/>
            <w:vAlign w:val="bottom"/>
            <w:hideMark/>
          </w:tcPr>
          <w:p w14:paraId="69FCE89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2674F0F5"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14,891 </w:t>
            </w:r>
          </w:p>
        </w:tc>
        <w:tc>
          <w:tcPr>
            <w:tcW w:w="1473" w:type="dxa"/>
            <w:tcBorders>
              <w:top w:val="nil"/>
              <w:left w:val="nil"/>
              <w:bottom w:val="single" w:sz="4" w:space="0" w:color="auto"/>
              <w:right w:val="single" w:sz="4" w:space="0" w:color="auto"/>
            </w:tcBorders>
            <w:shd w:val="clear" w:color="auto" w:fill="auto"/>
            <w:noWrap/>
            <w:vAlign w:val="bottom"/>
            <w:hideMark/>
          </w:tcPr>
          <w:p w14:paraId="6F4CAEA2"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14,891 </w:t>
            </w:r>
          </w:p>
        </w:tc>
      </w:tr>
      <w:tr w:rsidR="00CA3B73" w:rsidRPr="00CA3B73" w14:paraId="066B2E89"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4FC8EB1C"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9</w:t>
            </w:r>
          </w:p>
        </w:tc>
        <w:tc>
          <w:tcPr>
            <w:tcW w:w="850" w:type="dxa"/>
            <w:tcBorders>
              <w:top w:val="nil"/>
              <w:left w:val="nil"/>
              <w:bottom w:val="single" w:sz="4" w:space="0" w:color="auto"/>
              <w:right w:val="single" w:sz="4" w:space="0" w:color="auto"/>
            </w:tcBorders>
            <w:shd w:val="clear" w:color="auto" w:fill="auto"/>
            <w:noWrap/>
            <w:vAlign w:val="bottom"/>
            <w:hideMark/>
          </w:tcPr>
          <w:p w14:paraId="69F07E7D"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3367</w:t>
            </w:r>
          </w:p>
        </w:tc>
        <w:tc>
          <w:tcPr>
            <w:tcW w:w="5204" w:type="dxa"/>
            <w:tcBorders>
              <w:top w:val="nil"/>
              <w:left w:val="nil"/>
              <w:bottom w:val="single" w:sz="4" w:space="0" w:color="auto"/>
              <w:right w:val="single" w:sz="4" w:space="0" w:color="auto"/>
            </w:tcBorders>
            <w:shd w:val="clear" w:color="auto" w:fill="auto"/>
            <w:noWrap/>
            <w:vAlign w:val="bottom"/>
            <w:hideMark/>
          </w:tcPr>
          <w:p w14:paraId="4A31822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Transmission - Storm</w:t>
            </w:r>
          </w:p>
        </w:tc>
        <w:tc>
          <w:tcPr>
            <w:tcW w:w="1440" w:type="dxa"/>
            <w:tcBorders>
              <w:top w:val="nil"/>
              <w:left w:val="nil"/>
              <w:bottom w:val="single" w:sz="4" w:space="0" w:color="auto"/>
              <w:right w:val="single" w:sz="4" w:space="0" w:color="auto"/>
            </w:tcBorders>
            <w:shd w:val="clear" w:color="auto" w:fill="auto"/>
            <w:noWrap/>
            <w:vAlign w:val="bottom"/>
            <w:hideMark/>
          </w:tcPr>
          <w:p w14:paraId="685A54C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6C741F60"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7,902 </w:t>
            </w:r>
          </w:p>
        </w:tc>
        <w:tc>
          <w:tcPr>
            <w:tcW w:w="1473" w:type="dxa"/>
            <w:tcBorders>
              <w:top w:val="nil"/>
              <w:left w:val="nil"/>
              <w:bottom w:val="single" w:sz="4" w:space="0" w:color="auto"/>
              <w:right w:val="single" w:sz="4" w:space="0" w:color="auto"/>
            </w:tcBorders>
            <w:shd w:val="clear" w:color="auto" w:fill="auto"/>
            <w:noWrap/>
            <w:vAlign w:val="bottom"/>
            <w:hideMark/>
          </w:tcPr>
          <w:p w14:paraId="3DE49D1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7,902 </w:t>
            </w:r>
          </w:p>
        </w:tc>
      </w:tr>
      <w:tr w:rsidR="00CA3B73" w:rsidRPr="00CA3B73" w14:paraId="4F700C2F"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58E4F391"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10</w:t>
            </w:r>
          </w:p>
        </w:tc>
        <w:tc>
          <w:tcPr>
            <w:tcW w:w="850" w:type="dxa"/>
            <w:tcBorders>
              <w:top w:val="nil"/>
              <w:left w:val="nil"/>
              <w:bottom w:val="single" w:sz="4" w:space="0" w:color="auto"/>
              <w:right w:val="single" w:sz="4" w:space="0" w:color="auto"/>
            </w:tcBorders>
            <w:shd w:val="clear" w:color="auto" w:fill="auto"/>
            <w:noWrap/>
            <w:vAlign w:val="bottom"/>
            <w:hideMark/>
          </w:tcPr>
          <w:p w14:paraId="6260EB8C"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4211</w:t>
            </w:r>
          </w:p>
        </w:tc>
        <w:tc>
          <w:tcPr>
            <w:tcW w:w="5204" w:type="dxa"/>
            <w:tcBorders>
              <w:top w:val="nil"/>
              <w:left w:val="nil"/>
              <w:bottom w:val="single" w:sz="4" w:space="0" w:color="auto"/>
              <w:right w:val="single" w:sz="4" w:space="0" w:color="auto"/>
            </w:tcBorders>
            <w:shd w:val="clear" w:color="auto" w:fill="auto"/>
            <w:noWrap/>
            <w:vAlign w:val="bottom"/>
            <w:hideMark/>
          </w:tcPr>
          <w:p w14:paraId="3B394CF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Bulk Power Circuit Breaker Replacement </w:t>
            </w:r>
          </w:p>
        </w:tc>
        <w:tc>
          <w:tcPr>
            <w:tcW w:w="1440" w:type="dxa"/>
            <w:tcBorders>
              <w:top w:val="nil"/>
              <w:left w:val="nil"/>
              <w:bottom w:val="single" w:sz="4" w:space="0" w:color="auto"/>
              <w:right w:val="single" w:sz="4" w:space="0" w:color="auto"/>
            </w:tcBorders>
            <w:shd w:val="clear" w:color="auto" w:fill="auto"/>
            <w:noWrap/>
            <w:vAlign w:val="bottom"/>
            <w:hideMark/>
          </w:tcPr>
          <w:p w14:paraId="2049E01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D27B092"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9,071 </w:t>
            </w:r>
          </w:p>
        </w:tc>
        <w:tc>
          <w:tcPr>
            <w:tcW w:w="1473" w:type="dxa"/>
            <w:tcBorders>
              <w:top w:val="nil"/>
              <w:left w:val="nil"/>
              <w:bottom w:val="single" w:sz="4" w:space="0" w:color="auto"/>
              <w:right w:val="single" w:sz="4" w:space="0" w:color="auto"/>
            </w:tcBorders>
            <w:shd w:val="clear" w:color="auto" w:fill="auto"/>
            <w:noWrap/>
            <w:vAlign w:val="bottom"/>
            <w:hideMark/>
          </w:tcPr>
          <w:p w14:paraId="06ADAA6F"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9,071 </w:t>
            </w:r>
          </w:p>
        </w:tc>
      </w:tr>
      <w:tr w:rsidR="00CA3B73" w:rsidRPr="00CA3B73" w14:paraId="41C90158"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18905931"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11</w:t>
            </w:r>
          </w:p>
        </w:tc>
        <w:tc>
          <w:tcPr>
            <w:tcW w:w="850" w:type="dxa"/>
            <w:tcBorders>
              <w:top w:val="nil"/>
              <w:left w:val="nil"/>
              <w:bottom w:val="single" w:sz="4" w:space="0" w:color="auto"/>
              <w:right w:val="single" w:sz="4" w:space="0" w:color="auto"/>
            </w:tcBorders>
            <w:shd w:val="clear" w:color="auto" w:fill="auto"/>
            <w:noWrap/>
            <w:vAlign w:val="bottom"/>
            <w:hideMark/>
          </w:tcPr>
          <w:p w14:paraId="74BA78C6"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4651</w:t>
            </w:r>
          </w:p>
        </w:tc>
        <w:tc>
          <w:tcPr>
            <w:tcW w:w="5204" w:type="dxa"/>
            <w:tcBorders>
              <w:top w:val="nil"/>
              <w:left w:val="nil"/>
              <w:bottom w:val="single" w:sz="4" w:space="0" w:color="auto"/>
              <w:right w:val="single" w:sz="4" w:space="0" w:color="auto"/>
            </w:tcBorders>
            <w:shd w:val="clear" w:color="auto" w:fill="auto"/>
            <w:noWrap/>
            <w:vAlign w:val="bottom"/>
            <w:hideMark/>
          </w:tcPr>
          <w:p w14:paraId="30B84B2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Palo Verde Switchrack: Misc Capital Maintenance</w:t>
            </w:r>
          </w:p>
        </w:tc>
        <w:tc>
          <w:tcPr>
            <w:tcW w:w="1440" w:type="dxa"/>
            <w:tcBorders>
              <w:top w:val="nil"/>
              <w:left w:val="nil"/>
              <w:bottom w:val="single" w:sz="4" w:space="0" w:color="auto"/>
              <w:right w:val="single" w:sz="4" w:space="0" w:color="auto"/>
            </w:tcBorders>
            <w:shd w:val="clear" w:color="auto" w:fill="auto"/>
            <w:noWrap/>
            <w:vAlign w:val="bottom"/>
            <w:hideMark/>
          </w:tcPr>
          <w:p w14:paraId="2928D1F2"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1E0AE72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10,052 </w:t>
            </w:r>
          </w:p>
        </w:tc>
        <w:tc>
          <w:tcPr>
            <w:tcW w:w="1473" w:type="dxa"/>
            <w:tcBorders>
              <w:top w:val="nil"/>
              <w:left w:val="nil"/>
              <w:bottom w:val="single" w:sz="4" w:space="0" w:color="auto"/>
              <w:right w:val="single" w:sz="4" w:space="0" w:color="auto"/>
            </w:tcBorders>
            <w:shd w:val="clear" w:color="auto" w:fill="auto"/>
            <w:noWrap/>
            <w:vAlign w:val="bottom"/>
            <w:hideMark/>
          </w:tcPr>
          <w:p w14:paraId="2352FD38"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10,052 </w:t>
            </w:r>
          </w:p>
        </w:tc>
      </w:tr>
      <w:tr w:rsidR="00CA3B73" w:rsidRPr="00CA3B73" w14:paraId="5F1BC718"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5745690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12</w:t>
            </w:r>
          </w:p>
        </w:tc>
        <w:tc>
          <w:tcPr>
            <w:tcW w:w="850" w:type="dxa"/>
            <w:tcBorders>
              <w:top w:val="nil"/>
              <w:left w:val="nil"/>
              <w:bottom w:val="single" w:sz="4" w:space="0" w:color="auto"/>
              <w:right w:val="single" w:sz="4" w:space="0" w:color="auto"/>
            </w:tcBorders>
            <w:shd w:val="clear" w:color="auto" w:fill="auto"/>
            <w:noWrap/>
            <w:vAlign w:val="bottom"/>
            <w:hideMark/>
          </w:tcPr>
          <w:p w14:paraId="1CDC20F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4756</w:t>
            </w:r>
          </w:p>
        </w:tc>
        <w:tc>
          <w:tcPr>
            <w:tcW w:w="5204" w:type="dxa"/>
            <w:tcBorders>
              <w:top w:val="nil"/>
              <w:left w:val="nil"/>
              <w:bottom w:val="single" w:sz="4" w:space="0" w:color="auto"/>
              <w:right w:val="single" w:sz="4" w:space="0" w:color="auto"/>
            </w:tcBorders>
            <w:shd w:val="clear" w:color="auto" w:fill="auto"/>
            <w:noWrap/>
            <w:vAlign w:val="bottom"/>
            <w:hideMark/>
          </w:tcPr>
          <w:p w14:paraId="43EA811F"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Substation Miscellaneous Equipment Additions &amp; Betterment</w:t>
            </w:r>
          </w:p>
        </w:tc>
        <w:tc>
          <w:tcPr>
            <w:tcW w:w="1440" w:type="dxa"/>
            <w:tcBorders>
              <w:top w:val="nil"/>
              <w:left w:val="nil"/>
              <w:bottom w:val="single" w:sz="4" w:space="0" w:color="auto"/>
              <w:right w:val="single" w:sz="4" w:space="0" w:color="auto"/>
            </w:tcBorders>
            <w:shd w:val="clear" w:color="auto" w:fill="auto"/>
            <w:noWrap/>
            <w:vAlign w:val="bottom"/>
            <w:hideMark/>
          </w:tcPr>
          <w:p w14:paraId="16685BBB"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3C93C3C4"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18,573 </w:t>
            </w:r>
          </w:p>
        </w:tc>
        <w:tc>
          <w:tcPr>
            <w:tcW w:w="1473" w:type="dxa"/>
            <w:tcBorders>
              <w:top w:val="nil"/>
              <w:left w:val="nil"/>
              <w:bottom w:val="single" w:sz="4" w:space="0" w:color="auto"/>
              <w:right w:val="single" w:sz="4" w:space="0" w:color="auto"/>
            </w:tcBorders>
            <w:shd w:val="clear" w:color="auto" w:fill="auto"/>
            <w:noWrap/>
            <w:vAlign w:val="bottom"/>
            <w:hideMark/>
          </w:tcPr>
          <w:p w14:paraId="0BC9FDD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18,573 </w:t>
            </w:r>
          </w:p>
        </w:tc>
      </w:tr>
      <w:tr w:rsidR="00CA3B73" w:rsidRPr="00CA3B73" w14:paraId="1E4D0279"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47B1C114"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13</w:t>
            </w:r>
          </w:p>
        </w:tc>
        <w:tc>
          <w:tcPr>
            <w:tcW w:w="850" w:type="dxa"/>
            <w:tcBorders>
              <w:top w:val="nil"/>
              <w:left w:val="nil"/>
              <w:bottom w:val="single" w:sz="4" w:space="0" w:color="auto"/>
              <w:right w:val="single" w:sz="4" w:space="0" w:color="auto"/>
            </w:tcBorders>
            <w:shd w:val="clear" w:color="auto" w:fill="auto"/>
            <w:noWrap/>
            <w:vAlign w:val="bottom"/>
            <w:hideMark/>
          </w:tcPr>
          <w:p w14:paraId="0949028C"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5089</w:t>
            </w:r>
          </w:p>
        </w:tc>
        <w:tc>
          <w:tcPr>
            <w:tcW w:w="5204" w:type="dxa"/>
            <w:tcBorders>
              <w:top w:val="nil"/>
              <w:left w:val="nil"/>
              <w:bottom w:val="single" w:sz="4" w:space="0" w:color="auto"/>
              <w:right w:val="single" w:sz="4" w:space="0" w:color="auto"/>
            </w:tcBorders>
            <w:shd w:val="clear" w:color="auto" w:fill="auto"/>
            <w:noWrap/>
            <w:vAlign w:val="bottom"/>
            <w:hideMark/>
          </w:tcPr>
          <w:p w14:paraId="50F3660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Bulk Power 500kV &amp; 220kV Line Relay Replacement </w:t>
            </w:r>
          </w:p>
        </w:tc>
        <w:tc>
          <w:tcPr>
            <w:tcW w:w="1440" w:type="dxa"/>
            <w:tcBorders>
              <w:top w:val="nil"/>
              <w:left w:val="nil"/>
              <w:bottom w:val="single" w:sz="4" w:space="0" w:color="auto"/>
              <w:right w:val="single" w:sz="4" w:space="0" w:color="auto"/>
            </w:tcBorders>
            <w:shd w:val="clear" w:color="auto" w:fill="auto"/>
            <w:noWrap/>
            <w:vAlign w:val="bottom"/>
            <w:hideMark/>
          </w:tcPr>
          <w:p w14:paraId="249D60E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49C23C9"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5,959 </w:t>
            </w:r>
          </w:p>
        </w:tc>
        <w:tc>
          <w:tcPr>
            <w:tcW w:w="1473" w:type="dxa"/>
            <w:tcBorders>
              <w:top w:val="nil"/>
              <w:left w:val="nil"/>
              <w:bottom w:val="single" w:sz="4" w:space="0" w:color="auto"/>
              <w:right w:val="single" w:sz="4" w:space="0" w:color="auto"/>
            </w:tcBorders>
            <w:shd w:val="clear" w:color="auto" w:fill="auto"/>
            <w:noWrap/>
            <w:vAlign w:val="bottom"/>
            <w:hideMark/>
          </w:tcPr>
          <w:p w14:paraId="3515BEFF"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5,959 </w:t>
            </w:r>
          </w:p>
        </w:tc>
      </w:tr>
      <w:tr w:rsidR="00CA3B73" w:rsidRPr="00CA3B73" w14:paraId="1DDC30D1"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0B649A87"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lastRenderedPageBreak/>
              <w:t>14</w:t>
            </w:r>
          </w:p>
        </w:tc>
        <w:tc>
          <w:tcPr>
            <w:tcW w:w="850" w:type="dxa"/>
            <w:tcBorders>
              <w:top w:val="nil"/>
              <w:left w:val="nil"/>
              <w:bottom w:val="single" w:sz="4" w:space="0" w:color="auto"/>
              <w:right w:val="single" w:sz="4" w:space="0" w:color="auto"/>
            </w:tcBorders>
            <w:shd w:val="clear" w:color="auto" w:fill="auto"/>
            <w:noWrap/>
            <w:vAlign w:val="bottom"/>
            <w:hideMark/>
          </w:tcPr>
          <w:p w14:paraId="2D88D3DB"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7298</w:t>
            </w:r>
          </w:p>
        </w:tc>
        <w:tc>
          <w:tcPr>
            <w:tcW w:w="5204" w:type="dxa"/>
            <w:tcBorders>
              <w:top w:val="nil"/>
              <w:left w:val="nil"/>
              <w:bottom w:val="single" w:sz="4" w:space="0" w:color="auto"/>
              <w:right w:val="single" w:sz="4" w:space="0" w:color="auto"/>
            </w:tcBorders>
            <w:shd w:val="clear" w:color="auto" w:fill="auto"/>
            <w:noWrap/>
            <w:vAlign w:val="bottom"/>
            <w:hideMark/>
          </w:tcPr>
          <w:p w14:paraId="753455D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Transmission Line Rating Remediation (Exempt from Licensing)</w:t>
            </w:r>
          </w:p>
        </w:tc>
        <w:tc>
          <w:tcPr>
            <w:tcW w:w="1440" w:type="dxa"/>
            <w:tcBorders>
              <w:top w:val="nil"/>
              <w:left w:val="nil"/>
              <w:bottom w:val="single" w:sz="4" w:space="0" w:color="auto"/>
              <w:right w:val="single" w:sz="4" w:space="0" w:color="auto"/>
            </w:tcBorders>
            <w:shd w:val="clear" w:color="auto" w:fill="auto"/>
            <w:noWrap/>
            <w:vAlign w:val="bottom"/>
            <w:hideMark/>
          </w:tcPr>
          <w:p w14:paraId="73CE1EC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57F93E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80,143 </w:t>
            </w:r>
          </w:p>
        </w:tc>
        <w:tc>
          <w:tcPr>
            <w:tcW w:w="1473" w:type="dxa"/>
            <w:tcBorders>
              <w:top w:val="nil"/>
              <w:left w:val="nil"/>
              <w:bottom w:val="single" w:sz="4" w:space="0" w:color="auto"/>
              <w:right w:val="single" w:sz="4" w:space="0" w:color="auto"/>
            </w:tcBorders>
            <w:shd w:val="clear" w:color="auto" w:fill="auto"/>
            <w:noWrap/>
            <w:vAlign w:val="bottom"/>
            <w:hideMark/>
          </w:tcPr>
          <w:p w14:paraId="4A5AF0FF"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80,143 </w:t>
            </w:r>
          </w:p>
        </w:tc>
      </w:tr>
      <w:tr w:rsidR="00CA3B73" w:rsidRPr="00CA3B73" w14:paraId="441DD06E"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23499506"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15</w:t>
            </w:r>
          </w:p>
        </w:tc>
        <w:tc>
          <w:tcPr>
            <w:tcW w:w="850" w:type="dxa"/>
            <w:tcBorders>
              <w:top w:val="nil"/>
              <w:left w:val="nil"/>
              <w:bottom w:val="single" w:sz="4" w:space="0" w:color="auto"/>
              <w:right w:val="single" w:sz="4" w:space="0" w:color="auto"/>
            </w:tcBorders>
            <w:shd w:val="clear" w:color="auto" w:fill="auto"/>
            <w:noWrap/>
            <w:vAlign w:val="bottom"/>
            <w:hideMark/>
          </w:tcPr>
          <w:p w14:paraId="58E6CB83"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7392</w:t>
            </w:r>
          </w:p>
        </w:tc>
        <w:tc>
          <w:tcPr>
            <w:tcW w:w="5204" w:type="dxa"/>
            <w:tcBorders>
              <w:top w:val="nil"/>
              <w:left w:val="nil"/>
              <w:bottom w:val="single" w:sz="4" w:space="0" w:color="auto"/>
              <w:right w:val="single" w:sz="4" w:space="0" w:color="auto"/>
            </w:tcBorders>
            <w:shd w:val="clear" w:color="auto" w:fill="auto"/>
            <w:noWrap/>
            <w:vAlign w:val="bottom"/>
            <w:hideMark/>
          </w:tcPr>
          <w:p w14:paraId="291A539B"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Seismic Program - Transmission Substations</w:t>
            </w:r>
          </w:p>
        </w:tc>
        <w:tc>
          <w:tcPr>
            <w:tcW w:w="1440" w:type="dxa"/>
            <w:tcBorders>
              <w:top w:val="nil"/>
              <w:left w:val="nil"/>
              <w:bottom w:val="single" w:sz="4" w:space="0" w:color="auto"/>
              <w:right w:val="single" w:sz="4" w:space="0" w:color="auto"/>
            </w:tcBorders>
            <w:shd w:val="clear" w:color="auto" w:fill="auto"/>
            <w:noWrap/>
            <w:vAlign w:val="bottom"/>
            <w:hideMark/>
          </w:tcPr>
          <w:p w14:paraId="7206342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730C9E80" w14:textId="298E5D8C" w:rsidR="00CA3B73" w:rsidRPr="00CA3B73" w:rsidRDefault="00CA3B73" w:rsidP="00C66B37">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w:t>
            </w:r>
            <w:r w:rsidRPr="101F757E">
              <w:rPr>
                <w:rFonts w:ascii="Times New Roman" w:eastAsia="Times New Roman" w:hAnsi="Times New Roman" w:cs="Times New Roman"/>
                <w:color w:val="000000" w:themeColor="text1"/>
                <w:sz w:val="20"/>
                <w:szCs w:val="20"/>
              </w:rPr>
              <w:t xml:space="preserve"> 20,</w:t>
            </w:r>
            <w:r w:rsidRPr="00C66B37">
              <w:rPr>
                <w:rFonts w:ascii="Times New Roman" w:eastAsia="Times New Roman" w:hAnsi="Times New Roman" w:cs="Times New Roman"/>
                <w:color w:val="000000" w:themeColor="text1"/>
                <w:sz w:val="20"/>
                <w:szCs w:val="20"/>
              </w:rPr>
              <w:t>722</w:t>
            </w:r>
            <w:r w:rsidRPr="00CA3B73">
              <w:rPr>
                <w:rFonts w:ascii="Times New Roman" w:eastAsia="Times New Roman" w:hAnsi="Times New Roman" w:cs="Times New Roman"/>
                <w:color w:val="000000"/>
                <w:kern w:val="0"/>
                <w:sz w:val="20"/>
                <w:szCs w:val="20"/>
                <w14:ligatures w14:val="none"/>
              </w:rPr>
              <w:t xml:space="preserve"> </w:t>
            </w:r>
          </w:p>
        </w:tc>
        <w:tc>
          <w:tcPr>
            <w:tcW w:w="1473" w:type="dxa"/>
            <w:tcBorders>
              <w:top w:val="nil"/>
              <w:left w:val="nil"/>
              <w:bottom w:val="single" w:sz="4" w:space="0" w:color="auto"/>
              <w:right w:val="single" w:sz="4" w:space="0" w:color="auto"/>
            </w:tcBorders>
            <w:shd w:val="clear" w:color="auto" w:fill="auto"/>
            <w:noWrap/>
            <w:vAlign w:val="bottom"/>
            <w:hideMark/>
          </w:tcPr>
          <w:p w14:paraId="462993F4" w14:textId="758DD48A"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w:t>
            </w:r>
            <w:r w:rsidRPr="101F757E">
              <w:rPr>
                <w:rFonts w:ascii="Times New Roman" w:eastAsia="Times New Roman" w:hAnsi="Times New Roman" w:cs="Times New Roman"/>
                <w:color w:val="000000" w:themeColor="text1"/>
                <w:sz w:val="20"/>
                <w:szCs w:val="20"/>
              </w:rPr>
              <w:t xml:space="preserve">  20,722</w:t>
            </w:r>
            <w:r w:rsidRPr="00CA3B73">
              <w:rPr>
                <w:rFonts w:ascii="Times New Roman" w:eastAsia="Times New Roman" w:hAnsi="Times New Roman" w:cs="Times New Roman"/>
                <w:color w:val="000000"/>
                <w:kern w:val="0"/>
                <w:sz w:val="20"/>
                <w:szCs w:val="20"/>
                <w14:ligatures w14:val="none"/>
              </w:rPr>
              <w:t xml:space="preserve"> </w:t>
            </w:r>
          </w:p>
        </w:tc>
      </w:tr>
      <w:tr w:rsidR="00CA3B73" w:rsidRPr="00CA3B73" w14:paraId="00447D0F"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46D1EF2A"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16</w:t>
            </w:r>
          </w:p>
        </w:tc>
        <w:tc>
          <w:tcPr>
            <w:tcW w:w="850" w:type="dxa"/>
            <w:tcBorders>
              <w:top w:val="nil"/>
              <w:left w:val="nil"/>
              <w:bottom w:val="single" w:sz="4" w:space="0" w:color="auto"/>
              <w:right w:val="single" w:sz="4" w:space="0" w:color="auto"/>
            </w:tcBorders>
            <w:shd w:val="clear" w:color="auto" w:fill="auto"/>
            <w:noWrap/>
            <w:vAlign w:val="bottom"/>
            <w:hideMark/>
          </w:tcPr>
          <w:p w14:paraId="7ED10AFA"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7637</w:t>
            </w:r>
          </w:p>
        </w:tc>
        <w:tc>
          <w:tcPr>
            <w:tcW w:w="5204" w:type="dxa"/>
            <w:tcBorders>
              <w:top w:val="nil"/>
              <w:left w:val="nil"/>
              <w:bottom w:val="single" w:sz="4" w:space="0" w:color="auto"/>
              <w:right w:val="single" w:sz="4" w:space="0" w:color="auto"/>
            </w:tcBorders>
            <w:shd w:val="clear" w:color="auto" w:fill="auto"/>
            <w:noWrap/>
            <w:vAlign w:val="bottom"/>
            <w:hideMark/>
          </w:tcPr>
          <w:p w14:paraId="349F082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Substation Facility Capital Maintenance</w:t>
            </w:r>
          </w:p>
        </w:tc>
        <w:tc>
          <w:tcPr>
            <w:tcW w:w="1440" w:type="dxa"/>
            <w:tcBorders>
              <w:top w:val="nil"/>
              <w:left w:val="nil"/>
              <w:bottom w:val="single" w:sz="4" w:space="0" w:color="auto"/>
              <w:right w:val="single" w:sz="4" w:space="0" w:color="auto"/>
            </w:tcBorders>
            <w:shd w:val="clear" w:color="auto" w:fill="auto"/>
            <w:noWrap/>
            <w:vAlign w:val="bottom"/>
            <w:hideMark/>
          </w:tcPr>
          <w:p w14:paraId="54090A19"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79D54EE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9,377 </w:t>
            </w:r>
          </w:p>
        </w:tc>
        <w:tc>
          <w:tcPr>
            <w:tcW w:w="1473" w:type="dxa"/>
            <w:tcBorders>
              <w:top w:val="nil"/>
              <w:left w:val="nil"/>
              <w:bottom w:val="single" w:sz="4" w:space="0" w:color="auto"/>
              <w:right w:val="single" w:sz="4" w:space="0" w:color="auto"/>
            </w:tcBorders>
            <w:shd w:val="clear" w:color="auto" w:fill="auto"/>
            <w:noWrap/>
            <w:vAlign w:val="bottom"/>
            <w:hideMark/>
          </w:tcPr>
          <w:p w14:paraId="0741BEE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9,377 </w:t>
            </w:r>
          </w:p>
        </w:tc>
      </w:tr>
      <w:tr w:rsidR="00CA3B73" w:rsidRPr="00CA3B73" w14:paraId="354BB09E"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5E7E4838"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17</w:t>
            </w:r>
          </w:p>
        </w:tc>
        <w:tc>
          <w:tcPr>
            <w:tcW w:w="850" w:type="dxa"/>
            <w:tcBorders>
              <w:top w:val="nil"/>
              <w:left w:val="nil"/>
              <w:bottom w:val="single" w:sz="4" w:space="0" w:color="auto"/>
              <w:right w:val="single" w:sz="4" w:space="0" w:color="auto"/>
            </w:tcBorders>
            <w:shd w:val="clear" w:color="auto" w:fill="auto"/>
            <w:noWrap/>
            <w:vAlign w:val="bottom"/>
            <w:hideMark/>
          </w:tcPr>
          <w:p w14:paraId="2DA566C9"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7713</w:t>
            </w:r>
          </w:p>
        </w:tc>
        <w:tc>
          <w:tcPr>
            <w:tcW w:w="5204" w:type="dxa"/>
            <w:tcBorders>
              <w:top w:val="nil"/>
              <w:left w:val="nil"/>
              <w:bottom w:val="single" w:sz="4" w:space="0" w:color="auto"/>
              <w:right w:val="single" w:sz="4" w:space="0" w:color="auto"/>
            </w:tcBorders>
            <w:shd w:val="clear" w:color="auto" w:fill="auto"/>
            <w:noWrap/>
            <w:vAlign w:val="bottom"/>
            <w:hideMark/>
          </w:tcPr>
          <w:p w14:paraId="3D64F819"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Substation Switchrack Rebuilds (FERC)</w:t>
            </w:r>
          </w:p>
        </w:tc>
        <w:tc>
          <w:tcPr>
            <w:tcW w:w="1440" w:type="dxa"/>
            <w:tcBorders>
              <w:top w:val="nil"/>
              <w:left w:val="nil"/>
              <w:bottom w:val="single" w:sz="4" w:space="0" w:color="auto"/>
              <w:right w:val="single" w:sz="4" w:space="0" w:color="auto"/>
            </w:tcBorders>
            <w:shd w:val="clear" w:color="auto" w:fill="auto"/>
            <w:noWrap/>
            <w:vAlign w:val="bottom"/>
            <w:hideMark/>
          </w:tcPr>
          <w:p w14:paraId="658EB112"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2E2BDF2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9,599 </w:t>
            </w:r>
          </w:p>
        </w:tc>
        <w:tc>
          <w:tcPr>
            <w:tcW w:w="1473" w:type="dxa"/>
            <w:tcBorders>
              <w:top w:val="nil"/>
              <w:left w:val="nil"/>
              <w:bottom w:val="single" w:sz="4" w:space="0" w:color="auto"/>
              <w:right w:val="single" w:sz="4" w:space="0" w:color="auto"/>
            </w:tcBorders>
            <w:shd w:val="clear" w:color="auto" w:fill="auto"/>
            <w:noWrap/>
            <w:vAlign w:val="bottom"/>
            <w:hideMark/>
          </w:tcPr>
          <w:p w14:paraId="641C85F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9,599 </w:t>
            </w:r>
          </w:p>
        </w:tc>
      </w:tr>
      <w:tr w:rsidR="00CA3B73" w:rsidRPr="00CA3B73" w14:paraId="612D6593"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33C3621C"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18</w:t>
            </w:r>
          </w:p>
        </w:tc>
        <w:tc>
          <w:tcPr>
            <w:tcW w:w="850" w:type="dxa"/>
            <w:tcBorders>
              <w:top w:val="nil"/>
              <w:left w:val="nil"/>
              <w:bottom w:val="single" w:sz="4" w:space="0" w:color="auto"/>
              <w:right w:val="single" w:sz="4" w:space="0" w:color="auto"/>
            </w:tcBorders>
            <w:shd w:val="clear" w:color="auto" w:fill="auto"/>
            <w:noWrap/>
            <w:vAlign w:val="bottom"/>
            <w:hideMark/>
          </w:tcPr>
          <w:p w14:paraId="6997954D"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7949</w:t>
            </w:r>
          </w:p>
        </w:tc>
        <w:tc>
          <w:tcPr>
            <w:tcW w:w="5204" w:type="dxa"/>
            <w:tcBorders>
              <w:top w:val="nil"/>
              <w:left w:val="nil"/>
              <w:bottom w:val="single" w:sz="4" w:space="0" w:color="auto"/>
              <w:right w:val="single" w:sz="4" w:space="0" w:color="auto"/>
            </w:tcBorders>
            <w:shd w:val="clear" w:color="auto" w:fill="auto"/>
            <w:noWrap/>
            <w:vAlign w:val="bottom"/>
            <w:hideMark/>
          </w:tcPr>
          <w:p w14:paraId="77478F99"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Protection of Grid Infrastructure Assets</w:t>
            </w:r>
          </w:p>
        </w:tc>
        <w:tc>
          <w:tcPr>
            <w:tcW w:w="1440" w:type="dxa"/>
            <w:tcBorders>
              <w:top w:val="nil"/>
              <w:left w:val="nil"/>
              <w:bottom w:val="single" w:sz="4" w:space="0" w:color="auto"/>
              <w:right w:val="single" w:sz="4" w:space="0" w:color="auto"/>
            </w:tcBorders>
            <w:shd w:val="clear" w:color="auto" w:fill="auto"/>
            <w:noWrap/>
            <w:vAlign w:val="bottom"/>
            <w:hideMark/>
          </w:tcPr>
          <w:p w14:paraId="0F5CDE9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78D4F49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25,911 </w:t>
            </w:r>
          </w:p>
        </w:tc>
        <w:tc>
          <w:tcPr>
            <w:tcW w:w="1473" w:type="dxa"/>
            <w:tcBorders>
              <w:top w:val="nil"/>
              <w:left w:val="nil"/>
              <w:bottom w:val="single" w:sz="4" w:space="0" w:color="auto"/>
              <w:right w:val="single" w:sz="4" w:space="0" w:color="auto"/>
            </w:tcBorders>
            <w:shd w:val="clear" w:color="auto" w:fill="auto"/>
            <w:noWrap/>
            <w:vAlign w:val="bottom"/>
            <w:hideMark/>
          </w:tcPr>
          <w:p w14:paraId="1CB8309B"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25,911 </w:t>
            </w:r>
          </w:p>
        </w:tc>
      </w:tr>
      <w:tr w:rsidR="00CA3B73" w:rsidRPr="00CA3B73" w14:paraId="667825E5"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259EAC3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19</w:t>
            </w:r>
          </w:p>
        </w:tc>
        <w:tc>
          <w:tcPr>
            <w:tcW w:w="850" w:type="dxa"/>
            <w:tcBorders>
              <w:top w:val="nil"/>
              <w:left w:val="nil"/>
              <w:bottom w:val="single" w:sz="4" w:space="0" w:color="auto"/>
              <w:right w:val="single" w:sz="4" w:space="0" w:color="auto"/>
            </w:tcBorders>
            <w:shd w:val="clear" w:color="auto" w:fill="auto"/>
            <w:noWrap/>
            <w:vAlign w:val="bottom"/>
            <w:hideMark/>
          </w:tcPr>
          <w:p w14:paraId="53429951" w14:textId="39802CE7" w:rsidR="00CA3B73" w:rsidRPr="00CA3B73" w:rsidRDefault="00610027" w:rsidP="002F3FB5">
            <w:pPr>
              <w:spacing w:after="0" w:line="240" w:lineRule="auto"/>
              <w:jc w:val="center"/>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7890</w:t>
            </w:r>
          </w:p>
        </w:tc>
        <w:tc>
          <w:tcPr>
            <w:tcW w:w="5204" w:type="dxa"/>
            <w:tcBorders>
              <w:top w:val="nil"/>
              <w:left w:val="nil"/>
              <w:bottom w:val="single" w:sz="4" w:space="0" w:color="auto"/>
              <w:right w:val="single" w:sz="4" w:space="0" w:color="auto"/>
            </w:tcBorders>
            <w:shd w:val="clear" w:color="auto" w:fill="auto"/>
            <w:noWrap/>
            <w:vAlign w:val="bottom"/>
            <w:hideMark/>
          </w:tcPr>
          <w:p w14:paraId="3D00AD9D" w14:textId="2798B37A" w:rsidR="00CA3B73" w:rsidRPr="00CA3B73" w:rsidRDefault="000E5511" w:rsidP="00CA3B73">
            <w:pPr>
              <w:spacing w:after="0" w:line="240" w:lineRule="auto"/>
              <w:rPr>
                <w:rFonts w:ascii="Times New Roman" w:eastAsia="Times New Roman" w:hAnsi="Times New Roman" w:cs="Times New Roman"/>
                <w:color w:val="000000"/>
                <w:kern w:val="0"/>
                <w:sz w:val="20"/>
                <w:szCs w:val="20"/>
                <w14:ligatures w14:val="none"/>
              </w:rPr>
            </w:pPr>
            <w:r w:rsidRPr="000E5511">
              <w:rPr>
                <w:rFonts w:ascii="Times New Roman" w:eastAsia="Times New Roman" w:hAnsi="Times New Roman" w:cs="Times New Roman"/>
                <w:color w:val="000000"/>
                <w:kern w:val="0"/>
                <w:sz w:val="20"/>
                <w:szCs w:val="20"/>
                <w14:ligatures w14:val="none"/>
              </w:rPr>
              <w:t>Pardee-Pastoria 220kV: Re-conductor (San Joaquin &amp; North Coast)</w:t>
            </w:r>
          </w:p>
        </w:tc>
        <w:tc>
          <w:tcPr>
            <w:tcW w:w="1440" w:type="dxa"/>
            <w:tcBorders>
              <w:top w:val="nil"/>
              <w:left w:val="nil"/>
              <w:bottom w:val="single" w:sz="4" w:space="0" w:color="auto"/>
              <w:right w:val="single" w:sz="4" w:space="0" w:color="auto"/>
            </w:tcBorders>
            <w:shd w:val="clear" w:color="auto" w:fill="auto"/>
            <w:noWrap/>
            <w:vAlign w:val="bottom"/>
            <w:hideMark/>
          </w:tcPr>
          <w:p w14:paraId="5E113D2B"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5664925B" w14:textId="697D8272"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w:t>
            </w:r>
            <w:r w:rsidR="00610027">
              <w:rPr>
                <w:rFonts w:ascii="Times New Roman" w:eastAsia="Times New Roman" w:hAnsi="Times New Roman" w:cs="Times New Roman"/>
                <w:color w:val="000000"/>
                <w:kern w:val="0"/>
                <w:sz w:val="20"/>
                <w:szCs w:val="20"/>
                <w14:ligatures w14:val="none"/>
              </w:rPr>
              <w:t>61,150</w:t>
            </w:r>
            <w:r w:rsidRPr="00CA3B73">
              <w:rPr>
                <w:rFonts w:ascii="Times New Roman" w:eastAsia="Times New Roman" w:hAnsi="Times New Roman" w:cs="Times New Roman"/>
                <w:color w:val="000000"/>
                <w:kern w:val="0"/>
                <w:sz w:val="20"/>
                <w:szCs w:val="20"/>
                <w14:ligatures w14:val="none"/>
              </w:rPr>
              <w:t xml:space="preserve"> </w:t>
            </w:r>
          </w:p>
        </w:tc>
        <w:tc>
          <w:tcPr>
            <w:tcW w:w="1473" w:type="dxa"/>
            <w:tcBorders>
              <w:top w:val="nil"/>
              <w:left w:val="nil"/>
              <w:bottom w:val="single" w:sz="4" w:space="0" w:color="auto"/>
              <w:right w:val="single" w:sz="4" w:space="0" w:color="auto"/>
            </w:tcBorders>
            <w:shd w:val="clear" w:color="auto" w:fill="auto"/>
            <w:noWrap/>
            <w:vAlign w:val="bottom"/>
            <w:hideMark/>
          </w:tcPr>
          <w:p w14:paraId="6B4F90F0" w14:textId="7945F0E3" w:rsidR="00CA3B73" w:rsidRPr="00CA3B73" w:rsidRDefault="00610027" w:rsidP="00610027">
            <w:pPr>
              <w:spacing w:after="0" w:line="240" w:lineRule="auto"/>
              <w:jc w:val="right"/>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61,150</w:t>
            </w:r>
            <w:r w:rsidR="00CA3B73" w:rsidRPr="00CA3B73">
              <w:rPr>
                <w:rFonts w:ascii="Times New Roman" w:eastAsia="Times New Roman" w:hAnsi="Times New Roman" w:cs="Times New Roman"/>
                <w:color w:val="000000"/>
                <w:kern w:val="0"/>
                <w:sz w:val="20"/>
                <w:szCs w:val="20"/>
                <w14:ligatures w14:val="none"/>
              </w:rPr>
              <w:t xml:space="preserve"> </w:t>
            </w:r>
          </w:p>
        </w:tc>
      </w:tr>
      <w:tr w:rsidR="00CA3B73" w:rsidRPr="00CA3B73" w14:paraId="0576F3FC"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2A52B2CF"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20</w:t>
            </w:r>
          </w:p>
        </w:tc>
        <w:tc>
          <w:tcPr>
            <w:tcW w:w="850" w:type="dxa"/>
            <w:tcBorders>
              <w:top w:val="nil"/>
              <w:left w:val="nil"/>
              <w:bottom w:val="single" w:sz="4" w:space="0" w:color="auto"/>
              <w:right w:val="single" w:sz="4" w:space="0" w:color="auto"/>
            </w:tcBorders>
            <w:shd w:val="clear" w:color="auto" w:fill="auto"/>
            <w:noWrap/>
            <w:vAlign w:val="bottom"/>
            <w:hideMark/>
          </w:tcPr>
          <w:p w14:paraId="41A28943"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7763</w:t>
            </w:r>
          </w:p>
        </w:tc>
        <w:tc>
          <w:tcPr>
            <w:tcW w:w="5204" w:type="dxa"/>
            <w:tcBorders>
              <w:top w:val="nil"/>
              <w:left w:val="nil"/>
              <w:bottom w:val="single" w:sz="4" w:space="0" w:color="auto"/>
              <w:right w:val="single" w:sz="4" w:space="0" w:color="auto"/>
            </w:tcBorders>
            <w:shd w:val="clear" w:color="auto" w:fill="auto"/>
            <w:noWrap/>
            <w:vAlign w:val="bottom"/>
            <w:hideMark/>
          </w:tcPr>
          <w:p w14:paraId="1378B5EB"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Lugo-Victorville 500 kV T/L SPS</w:t>
            </w:r>
          </w:p>
        </w:tc>
        <w:tc>
          <w:tcPr>
            <w:tcW w:w="1440" w:type="dxa"/>
            <w:tcBorders>
              <w:top w:val="nil"/>
              <w:left w:val="nil"/>
              <w:bottom w:val="single" w:sz="4" w:space="0" w:color="auto"/>
              <w:right w:val="single" w:sz="4" w:space="0" w:color="auto"/>
            </w:tcBorders>
            <w:shd w:val="clear" w:color="auto" w:fill="auto"/>
            <w:noWrap/>
            <w:vAlign w:val="bottom"/>
            <w:hideMark/>
          </w:tcPr>
          <w:p w14:paraId="18E7C56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0E8CA968"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43,689 </w:t>
            </w:r>
          </w:p>
        </w:tc>
        <w:tc>
          <w:tcPr>
            <w:tcW w:w="1473" w:type="dxa"/>
            <w:tcBorders>
              <w:top w:val="nil"/>
              <w:left w:val="nil"/>
              <w:bottom w:val="single" w:sz="4" w:space="0" w:color="auto"/>
              <w:right w:val="single" w:sz="4" w:space="0" w:color="auto"/>
            </w:tcBorders>
            <w:shd w:val="clear" w:color="auto" w:fill="auto"/>
            <w:noWrap/>
            <w:vAlign w:val="bottom"/>
            <w:hideMark/>
          </w:tcPr>
          <w:p w14:paraId="454BBBF8"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43,689 </w:t>
            </w:r>
          </w:p>
        </w:tc>
      </w:tr>
      <w:tr w:rsidR="00CA3B73" w:rsidRPr="00CA3B73" w14:paraId="494BBAD3"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3F7ACAB0"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21</w:t>
            </w:r>
          </w:p>
        </w:tc>
        <w:tc>
          <w:tcPr>
            <w:tcW w:w="850" w:type="dxa"/>
            <w:tcBorders>
              <w:top w:val="nil"/>
              <w:left w:val="nil"/>
              <w:bottom w:val="single" w:sz="4" w:space="0" w:color="auto"/>
              <w:right w:val="single" w:sz="4" w:space="0" w:color="auto"/>
            </w:tcBorders>
            <w:shd w:val="clear" w:color="auto" w:fill="auto"/>
            <w:noWrap/>
            <w:vAlign w:val="bottom"/>
            <w:hideMark/>
          </w:tcPr>
          <w:p w14:paraId="64BE87F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8042</w:t>
            </w:r>
          </w:p>
        </w:tc>
        <w:tc>
          <w:tcPr>
            <w:tcW w:w="5204" w:type="dxa"/>
            <w:tcBorders>
              <w:top w:val="nil"/>
              <w:left w:val="nil"/>
              <w:bottom w:val="single" w:sz="4" w:space="0" w:color="auto"/>
              <w:right w:val="single" w:sz="4" w:space="0" w:color="auto"/>
            </w:tcBorders>
            <w:shd w:val="clear" w:color="auto" w:fill="auto"/>
            <w:noWrap/>
            <w:vAlign w:val="bottom"/>
            <w:hideMark/>
          </w:tcPr>
          <w:p w14:paraId="7C74151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Physical Security Enhancement Projects (Tiers 2 &amp; 3)</w:t>
            </w:r>
          </w:p>
        </w:tc>
        <w:tc>
          <w:tcPr>
            <w:tcW w:w="1440" w:type="dxa"/>
            <w:tcBorders>
              <w:top w:val="nil"/>
              <w:left w:val="nil"/>
              <w:bottom w:val="single" w:sz="4" w:space="0" w:color="auto"/>
              <w:right w:val="single" w:sz="4" w:space="0" w:color="auto"/>
            </w:tcBorders>
            <w:shd w:val="clear" w:color="auto" w:fill="auto"/>
            <w:noWrap/>
            <w:vAlign w:val="bottom"/>
            <w:hideMark/>
          </w:tcPr>
          <w:p w14:paraId="0C5A93F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09EC0909"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28,515 </w:t>
            </w:r>
          </w:p>
        </w:tc>
        <w:tc>
          <w:tcPr>
            <w:tcW w:w="1473" w:type="dxa"/>
            <w:tcBorders>
              <w:top w:val="nil"/>
              <w:left w:val="nil"/>
              <w:bottom w:val="single" w:sz="4" w:space="0" w:color="auto"/>
              <w:right w:val="single" w:sz="4" w:space="0" w:color="auto"/>
            </w:tcBorders>
            <w:shd w:val="clear" w:color="auto" w:fill="auto"/>
            <w:noWrap/>
            <w:vAlign w:val="bottom"/>
            <w:hideMark/>
          </w:tcPr>
          <w:p w14:paraId="3F23539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28,515 </w:t>
            </w:r>
          </w:p>
        </w:tc>
      </w:tr>
      <w:tr w:rsidR="00CA3B73" w:rsidRPr="00CA3B73" w14:paraId="64549DDC"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794B161A"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22</w:t>
            </w:r>
          </w:p>
        </w:tc>
        <w:tc>
          <w:tcPr>
            <w:tcW w:w="850" w:type="dxa"/>
            <w:tcBorders>
              <w:top w:val="nil"/>
              <w:left w:val="nil"/>
              <w:bottom w:val="single" w:sz="4" w:space="0" w:color="auto"/>
              <w:right w:val="single" w:sz="4" w:space="0" w:color="auto"/>
            </w:tcBorders>
            <w:shd w:val="clear" w:color="auto" w:fill="auto"/>
            <w:noWrap/>
            <w:vAlign w:val="bottom"/>
            <w:hideMark/>
          </w:tcPr>
          <w:p w14:paraId="509BE166"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8077</w:t>
            </w:r>
          </w:p>
        </w:tc>
        <w:tc>
          <w:tcPr>
            <w:tcW w:w="5204" w:type="dxa"/>
            <w:tcBorders>
              <w:top w:val="nil"/>
              <w:left w:val="nil"/>
              <w:bottom w:val="single" w:sz="4" w:space="0" w:color="auto"/>
              <w:right w:val="single" w:sz="4" w:space="0" w:color="auto"/>
            </w:tcBorders>
            <w:shd w:val="clear" w:color="auto" w:fill="auto"/>
            <w:noWrap/>
            <w:vAlign w:val="bottom"/>
            <w:hideMark/>
          </w:tcPr>
          <w:p w14:paraId="0722ECEF"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Annual Transmission Reliability Assessment 2016 - Protection Upgrades (ATRA)</w:t>
            </w:r>
          </w:p>
        </w:tc>
        <w:tc>
          <w:tcPr>
            <w:tcW w:w="1440" w:type="dxa"/>
            <w:tcBorders>
              <w:top w:val="nil"/>
              <w:left w:val="nil"/>
              <w:bottom w:val="single" w:sz="4" w:space="0" w:color="auto"/>
              <w:right w:val="single" w:sz="4" w:space="0" w:color="auto"/>
            </w:tcBorders>
            <w:shd w:val="clear" w:color="auto" w:fill="auto"/>
            <w:noWrap/>
            <w:vAlign w:val="bottom"/>
            <w:hideMark/>
          </w:tcPr>
          <w:p w14:paraId="61E84F5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283961A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18,323 </w:t>
            </w:r>
          </w:p>
        </w:tc>
        <w:tc>
          <w:tcPr>
            <w:tcW w:w="1473" w:type="dxa"/>
            <w:tcBorders>
              <w:top w:val="nil"/>
              <w:left w:val="nil"/>
              <w:bottom w:val="single" w:sz="4" w:space="0" w:color="auto"/>
              <w:right w:val="single" w:sz="4" w:space="0" w:color="auto"/>
            </w:tcBorders>
            <w:shd w:val="clear" w:color="auto" w:fill="auto"/>
            <w:noWrap/>
            <w:vAlign w:val="bottom"/>
            <w:hideMark/>
          </w:tcPr>
          <w:p w14:paraId="3C64065B"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18,323 </w:t>
            </w:r>
          </w:p>
        </w:tc>
      </w:tr>
      <w:tr w:rsidR="00CA3B73" w:rsidRPr="00CA3B73" w14:paraId="79F7A3A6"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1D38E1BB"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23</w:t>
            </w:r>
          </w:p>
        </w:tc>
        <w:tc>
          <w:tcPr>
            <w:tcW w:w="850" w:type="dxa"/>
            <w:tcBorders>
              <w:top w:val="nil"/>
              <w:left w:val="nil"/>
              <w:bottom w:val="single" w:sz="4" w:space="0" w:color="auto"/>
              <w:right w:val="single" w:sz="4" w:space="0" w:color="auto"/>
            </w:tcBorders>
            <w:shd w:val="clear" w:color="auto" w:fill="auto"/>
            <w:noWrap/>
            <w:vAlign w:val="bottom"/>
            <w:hideMark/>
          </w:tcPr>
          <w:p w14:paraId="2A38907C"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8284</w:t>
            </w:r>
          </w:p>
        </w:tc>
        <w:tc>
          <w:tcPr>
            <w:tcW w:w="5204" w:type="dxa"/>
            <w:tcBorders>
              <w:top w:val="nil"/>
              <w:left w:val="nil"/>
              <w:bottom w:val="single" w:sz="4" w:space="0" w:color="auto"/>
              <w:right w:val="single" w:sz="4" w:space="0" w:color="auto"/>
            </w:tcBorders>
            <w:shd w:val="clear" w:color="auto" w:fill="auto"/>
            <w:noWrap/>
            <w:vAlign w:val="bottom"/>
            <w:hideMark/>
          </w:tcPr>
          <w:p w14:paraId="570BBECF"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West of Colorado River CRAS Inland Devers Extension</w:t>
            </w:r>
          </w:p>
        </w:tc>
        <w:tc>
          <w:tcPr>
            <w:tcW w:w="1440" w:type="dxa"/>
            <w:tcBorders>
              <w:top w:val="nil"/>
              <w:left w:val="nil"/>
              <w:bottom w:val="single" w:sz="4" w:space="0" w:color="auto"/>
              <w:right w:val="single" w:sz="4" w:space="0" w:color="auto"/>
            </w:tcBorders>
            <w:shd w:val="clear" w:color="auto" w:fill="auto"/>
            <w:noWrap/>
            <w:vAlign w:val="bottom"/>
            <w:hideMark/>
          </w:tcPr>
          <w:p w14:paraId="78A3FC4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6119A3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10,327 </w:t>
            </w:r>
          </w:p>
        </w:tc>
        <w:tc>
          <w:tcPr>
            <w:tcW w:w="1473" w:type="dxa"/>
            <w:tcBorders>
              <w:top w:val="nil"/>
              <w:left w:val="nil"/>
              <w:bottom w:val="single" w:sz="4" w:space="0" w:color="auto"/>
              <w:right w:val="single" w:sz="4" w:space="0" w:color="auto"/>
            </w:tcBorders>
            <w:shd w:val="clear" w:color="auto" w:fill="auto"/>
            <w:noWrap/>
            <w:vAlign w:val="bottom"/>
            <w:hideMark/>
          </w:tcPr>
          <w:p w14:paraId="2C55FDD5"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10,327 </w:t>
            </w:r>
          </w:p>
        </w:tc>
      </w:tr>
      <w:tr w:rsidR="00CA3B73" w:rsidRPr="00CA3B73" w14:paraId="4EC8C4D3"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2C4E1E41"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24</w:t>
            </w:r>
          </w:p>
        </w:tc>
        <w:tc>
          <w:tcPr>
            <w:tcW w:w="850" w:type="dxa"/>
            <w:tcBorders>
              <w:top w:val="nil"/>
              <w:left w:val="nil"/>
              <w:bottom w:val="single" w:sz="4" w:space="0" w:color="auto"/>
              <w:right w:val="single" w:sz="4" w:space="0" w:color="auto"/>
            </w:tcBorders>
            <w:shd w:val="clear" w:color="auto" w:fill="auto"/>
            <w:noWrap/>
            <w:vAlign w:val="bottom"/>
            <w:hideMark/>
          </w:tcPr>
          <w:p w14:paraId="4BEB5C55"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8294</w:t>
            </w:r>
          </w:p>
        </w:tc>
        <w:tc>
          <w:tcPr>
            <w:tcW w:w="5204" w:type="dxa"/>
            <w:tcBorders>
              <w:top w:val="nil"/>
              <w:left w:val="nil"/>
              <w:bottom w:val="single" w:sz="4" w:space="0" w:color="auto"/>
              <w:right w:val="single" w:sz="4" w:space="0" w:color="auto"/>
            </w:tcBorders>
            <w:shd w:val="clear" w:color="auto" w:fill="auto"/>
            <w:noWrap/>
            <w:vAlign w:val="bottom"/>
            <w:hideMark/>
          </w:tcPr>
          <w:p w14:paraId="1F4215F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Pardee-Sylmar No. 1 and No. 2 230kV Line Rating Increase Project</w:t>
            </w:r>
          </w:p>
        </w:tc>
        <w:tc>
          <w:tcPr>
            <w:tcW w:w="1440" w:type="dxa"/>
            <w:tcBorders>
              <w:top w:val="nil"/>
              <w:left w:val="nil"/>
              <w:bottom w:val="single" w:sz="4" w:space="0" w:color="auto"/>
              <w:right w:val="single" w:sz="4" w:space="0" w:color="auto"/>
            </w:tcBorders>
            <w:shd w:val="clear" w:color="auto" w:fill="auto"/>
            <w:noWrap/>
            <w:vAlign w:val="bottom"/>
            <w:hideMark/>
          </w:tcPr>
          <w:p w14:paraId="4551DD47"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70A2D53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11,907 </w:t>
            </w:r>
          </w:p>
        </w:tc>
        <w:tc>
          <w:tcPr>
            <w:tcW w:w="1473" w:type="dxa"/>
            <w:tcBorders>
              <w:top w:val="nil"/>
              <w:left w:val="nil"/>
              <w:bottom w:val="single" w:sz="4" w:space="0" w:color="auto"/>
              <w:right w:val="single" w:sz="4" w:space="0" w:color="auto"/>
            </w:tcBorders>
            <w:shd w:val="clear" w:color="auto" w:fill="auto"/>
            <w:noWrap/>
            <w:vAlign w:val="bottom"/>
            <w:hideMark/>
          </w:tcPr>
          <w:p w14:paraId="31DB8D4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11,907 </w:t>
            </w:r>
          </w:p>
        </w:tc>
      </w:tr>
      <w:tr w:rsidR="00CA3B73" w:rsidRPr="00CA3B73" w14:paraId="71C5392A"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0733A42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25</w:t>
            </w:r>
          </w:p>
        </w:tc>
        <w:tc>
          <w:tcPr>
            <w:tcW w:w="850" w:type="dxa"/>
            <w:tcBorders>
              <w:top w:val="nil"/>
              <w:left w:val="nil"/>
              <w:bottom w:val="single" w:sz="4" w:space="0" w:color="auto"/>
              <w:right w:val="single" w:sz="4" w:space="0" w:color="auto"/>
            </w:tcBorders>
            <w:shd w:val="clear" w:color="auto" w:fill="auto"/>
            <w:noWrap/>
            <w:vAlign w:val="bottom"/>
            <w:hideMark/>
          </w:tcPr>
          <w:p w14:paraId="632E1DCC"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8298</w:t>
            </w:r>
          </w:p>
        </w:tc>
        <w:tc>
          <w:tcPr>
            <w:tcW w:w="5204" w:type="dxa"/>
            <w:tcBorders>
              <w:top w:val="nil"/>
              <w:left w:val="nil"/>
              <w:bottom w:val="single" w:sz="4" w:space="0" w:color="auto"/>
              <w:right w:val="single" w:sz="4" w:space="0" w:color="auto"/>
            </w:tcBorders>
            <w:shd w:val="clear" w:color="auto" w:fill="auto"/>
            <w:noWrap/>
            <w:vAlign w:val="bottom"/>
            <w:hideMark/>
          </w:tcPr>
          <w:p w14:paraId="7B3A17F0"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Bellefield Solar Farm Reliability Network Upgrades</w:t>
            </w:r>
          </w:p>
        </w:tc>
        <w:tc>
          <w:tcPr>
            <w:tcW w:w="1440" w:type="dxa"/>
            <w:tcBorders>
              <w:top w:val="nil"/>
              <w:left w:val="nil"/>
              <w:bottom w:val="single" w:sz="4" w:space="0" w:color="auto"/>
              <w:right w:val="single" w:sz="4" w:space="0" w:color="auto"/>
            </w:tcBorders>
            <w:shd w:val="clear" w:color="auto" w:fill="auto"/>
            <w:noWrap/>
            <w:vAlign w:val="bottom"/>
            <w:hideMark/>
          </w:tcPr>
          <w:p w14:paraId="7EB5438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0AED71AF"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6,009 </w:t>
            </w:r>
          </w:p>
        </w:tc>
        <w:tc>
          <w:tcPr>
            <w:tcW w:w="1473" w:type="dxa"/>
            <w:tcBorders>
              <w:top w:val="nil"/>
              <w:left w:val="nil"/>
              <w:bottom w:val="single" w:sz="4" w:space="0" w:color="auto"/>
              <w:right w:val="single" w:sz="4" w:space="0" w:color="auto"/>
            </w:tcBorders>
            <w:shd w:val="clear" w:color="auto" w:fill="auto"/>
            <w:noWrap/>
            <w:vAlign w:val="bottom"/>
            <w:hideMark/>
          </w:tcPr>
          <w:p w14:paraId="522F0AF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6,009 </w:t>
            </w:r>
          </w:p>
        </w:tc>
      </w:tr>
      <w:tr w:rsidR="00CA3B73" w:rsidRPr="00CA3B73" w14:paraId="7AC589B4"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362EF55F"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26</w:t>
            </w:r>
          </w:p>
        </w:tc>
        <w:tc>
          <w:tcPr>
            <w:tcW w:w="850" w:type="dxa"/>
            <w:tcBorders>
              <w:top w:val="nil"/>
              <w:left w:val="nil"/>
              <w:bottom w:val="single" w:sz="4" w:space="0" w:color="auto"/>
              <w:right w:val="single" w:sz="4" w:space="0" w:color="auto"/>
            </w:tcBorders>
            <w:shd w:val="clear" w:color="auto" w:fill="auto"/>
            <w:noWrap/>
            <w:vAlign w:val="bottom"/>
            <w:hideMark/>
          </w:tcPr>
          <w:p w14:paraId="428813C1"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8342</w:t>
            </w:r>
          </w:p>
        </w:tc>
        <w:tc>
          <w:tcPr>
            <w:tcW w:w="5204" w:type="dxa"/>
            <w:tcBorders>
              <w:top w:val="nil"/>
              <w:left w:val="nil"/>
              <w:bottom w:val="single" w:sz="4" w:space="0" w:color="auto"/>
              <w:right w:val="single" w:sz="4" w:space="0" w:color="auto"/>
            </w:tcBorders>
            <w:shd w:val="clear" w:color="auto" w:fill="auto"/>
            <w:noWrap/>
            <w:vAlign w:val="bottom"/>
            <w:hideMark/>
          </w:tcPr>
          <w:p w14:paraId="796AAF92"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Sanborn Hybrid 3</w:t>
            </w:r>
          </w:p>
        </w:tc>
        <w:tc>
          <w:tcPr>
            <w:tcW w:w="1440" w:type="dxa"/>
            <w:tcBorders>
              <w:top w:val="nil"/>
              <w:left w:val="nil"/>
              <w:bottom w:val="single" w:sz="4" w:space="0" w:color="auto"/>
              <w:right w:val="single" w:sz="4" w:space="0" w:color="auto"/>
            </w:tcBorders>
            <w:shd w:val="clear" w:color="auto" w:fill="auto"/>
            <w:noWrap/>
            <w:vAlign w:val="bottom"/>
            <w:hideMark/>
          </w:tcPr>
          <w:p w14:paraId="0CDE79C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4DF2F6B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9,157 </w:t>
            </w:r>
          </w:p>
        </w:tc>
        <w:tc>
          <w:tcPr>
            <w:tcW w:w="1473" w:type="dxa"/>
            <w:tcBorders>
              <w:top w:val="nil"/>
              <w:left w:val="nil"/>
              <w:bottom w:val="single" w:sz="4" w:space="0" w:color="auto"/>
              <w:right w:val="single" w:sz="4" w:space="0" w:color="auto"/>
            </w:tcBorders>
            <w:shd w:val="clear" w:color="auto" w:fill="auto"/>
            <w:noWrap/>
            <w:vAlign w:val="bottom"/>
            <w:hideMark/>
          </w:tcPr>
          <w:p w14:paraId="7CEF1354"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9,157 </w:t>
            </w:r>
          </w:p>
        </w:tc>
      </w:tr>
      <w:tr w:rsidR="00CA3B73" w:rsidRPr="00CA3B73" w14:paraId="5F365C41"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0740B8E7"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27</w:t>
            </w:r>
          </w:p>
        </w:tc>
        <w:tc>
          <w:tcPr>
            <w:tcW w:w="850" w:type="dxa"/>
            <w:tcBorders>
              <w:top w:val="nil"/>
              <w:left w:val="nil"/>
              <w:bottom w:val="single" w:sz="4" w:space="0" w:color="auto"/>
              <w:right w:val="single" w:sz="4" w:space="0" w:color="auto"/>
            </w:tcBorders>
            <w:shd w:val="clear" w:color="auto" w:fill="auto"/>
            <w:noWrap/>
            <w:vAlign w:val="bottom"/>
            <w:hideMark/>
          </w:tcPr>
          <w:p w14:paraId="590228CB"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8398</w:t>
            </w:r>
          </w:p>
        </w:tc>
        <w:tc>
          <w:tcPr>
            <w:tcW w:w="5204" w:type="dxa"/>
            <w:tcBorders>
              <w:top w:val="nil"/>
              <w:left w:val="nil"/>
              <w:bottom w:val="single" w:sz="4" w:space="0" w:color="auto"/>
              <w:right w:val="single" w:sz="4" w:space="0" w:color="auto"/>
            </w:tcBorders>
            <w:shd w:val="clear" w:color="auto" w:fill="auto"/>
            <w:noWrap/>
            <w:vAlign w:val="bottom"/>
            <w:hideMark/>
          </w:tcPr>
          <w:p w14:paraId="42E3DA6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Goldback Solar Center</w:t>
            </w:r>
          </w:p>
        </w:tc>
        <w:tc>
          <w:tcPr>
            <w:tcW w:w="1440" w:type="dxa"/>
            <w:tcBorders>
              <w:top w:val="nil"/>
              <w:left w:val="nil"/>
              <w:bottom w:val="single" w:sz="4" w:space="0" w:color="auto"/>
              <w:right w:val="single" w:sz="4" w:space="0" w:color="auto"/>
            </w:tcBorders>
            <w:shd w:val="clear" w:color="auto" w:fill="auto"/>
            <w:noWrap/>
            <w:vAlign w:val="bottom"/>
            <w:hideMark/>
          </w:tcPr>
          <w:p w14:paraId="3A3E4F0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036B70F4"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6,688 </w:t>
            </w:r>
          </w:p>
        </w:tc>
        <w:tc>
          <w:tcPr>
            <w:tcW w:w="1473" w:type="dxa"/>
            <w:tcBorders>
              <w:top w:val="nil"/>
              <w:left w:val="nil"/>
              <w:bottom w:val="single" w:sz="4" w:space="0" w:color="auto"/>
              <w:right w:val="single" w:sz="4" w:space="0" w:color="auto"/>
            </w:tcBorders>
            <w:shd w:val="clear" w:color="auto" w:fill="auto"/>
            <w:noWrap/>
            <w:vAlign w:val="bottom"/>
            <w:hideMark/>
          </w:tcPr>
          <w:p w14:paraId="4BD90234"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6,688 </w:t>
            </w:r>
          </w:p>
        </w:tc>
      </w:tr>
      <w:tr w:rsidR="00CA3B73" w:rsidRPr="00CA3B73" w14:paraId="141C5D49"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437E21E0"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28</w:t>
            </w:r>
          </w:p>
        </w:tc>
        <w:tc>
          <w:tcPr>
            <w:tcW w:w="850" w:type="dxa"/>
            <w:tcBorders>
              <w:top w:val="nil"/>
              <w:left w:val="nil"/>
              <w:bottom w:val="single" w:sz="4" w:space="0" w:color="auto"/>
              <w:right w:val="single" w:sz="4" w:space="0" w:color="auto"/>
            </w:tcBorders>
            <w:shd w:val="clear" w:color="auto" w:fill="auto"/>
            <w:noWrap/>
            <w:vAlign w:val="bottom"/>
            <w:hideMark/>
          </w:tcPr>
          <w:p w14:paraId="58E6564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8448</w:t>
            </w:r>
          </w:p>
        </w:tc>
        <w:tc>
          <w:tcPr>
            <w:tcW w:w="5204" w:type="dxa"/>
            <w:tcBorders>
              <w:top w:val="nil"/>
              <w:left w:val="nil"/>
              <w:bottom w:val="single" w:sz="4" w:space="0" w:color="auto"/>
              <w:right w:val="single" w:sz="4" w:space="0" w:color="auto"/>
            </w:tcBorders>
            <w:shd w:val="clear" w:color="auto" w:fill="auto"/>
            <w:noWrap/>
            <w:vAlign w:val="bottom"/>
            <w:hideMark/>
          </w:tcPr>
          <w:p w14:paraId="1789D690"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Laguna Bell-Mesa No. 1 230 kV Line Rating Increase Project</w:t>
            </w:r>
          </w:p>
        </w:tc>
        <w:tc>
          <w:tcPr>
            <w:tcW w:w="1440" w:type="dxa"/>
            <w:tcBorders>
              <w:top w:val="nil"/>
              <w:left w:val="nil"/>
              <w:bottom w:val="single" w:sz="4" w:space="0" w:color="auto"/>
              <w:right w:val="single" w:sz="4" w:space="0" w:color="auto"/>
            </w:tcBorders>
            <w:shd w:val="clear" w:color="auto" w:fill="auto"/>
            <w:noWrap/>
            <w:vAlign w:val="bottom"/>
            <w:hideMark/>
          </w:tcPr>
          <w:p w14:paraId="1DF91F3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792E5C3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16,712 </w:t>
            </w:r>
          </w:p>
        </w:tc>
        <w:tc>
          <w:tcPr>
            <w:tcW w:w="1473" w:type="dxa"/>
            <w:tcBorders>
              <w:top w:val="nil"/>
              <w:left w:val="nil"/>
              <w:bottom w:val="single" w:sz="4" w:space="0" w:color="auto"/>
              <w:right w:val="single" w:sz="4" w:space="0" w:color="auto"/>
            </w:tcBorders>
            <w:shd w:val="clear" w:color="auto" w:fill="auto"/>
            <w:noWrap/>
            <w:vAlign w:val="bottom"/>
            <w:hideMark/>
          </w:tcPr>
          <w:p w14:paraId="0294736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16,712 </w:t>
            </w:r>
          </w:p>
        </w:tc>
      </w:tr>
      <w:tr w:rsidR="00CA3B73" w:rsidRPr="00CA3B73" w14:paraId="19D6820D"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1F3380B5"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29</w:t>
            </w:r>
          </w:p>
        </w:tc>
        <w:tc>
          <w:tcPr>
            <w:tcW w:w="850" w:type="dxa"/>
            <w:tcBorders>
              <w:top w:val="nil"/>
              <w:left w:val="nil"/>
              <w:bottom w:val="single" w:sz="4" w:space="0" w:color="auto"/>
              <w:right w:val="single" w:sz="4" w:space="0" w:color="auto"/>
            </w:tcBorders>
            <w:shd w:val="clear" w:color="auto" w:fill="auto"/>
            <w:noWrap/>
            <w:vAlign w:val="bottom"/>
            <w:hideMark/>
          </w:tcPr>
          <w:p w14:paraId="15DD594D"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8473</w:t>
            </w:r>
          </w:p>
        </w:tc>
        <w:tc>
          <w:tcPr>
            <w:tcW w:w="5204" w:type="dxa"/>
            <w:tcBorders>
              <w:top w:val="nil"/>
              <w:left w:val="nil"/>
              <w:bottom w:val="single" w:sz="4" w:space="0" w:color="auto"/>
              <w:right w:val="single" w:sz="4" w:space="0" w:color="auto"/>
            </w:tcBorders>
            <w:shd w:val="clear" w:color="auto" w:fill="auto"/>
            <w:noWrap/>
            <w:vAlign w:val="bottom"/>
            <w:hideMark/>
          </w:tcPr>
          <w:p w14:paraId="67B7A5A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Devers 230 kV Reconfiguration Project</w:t>
            </w:r>
          </w:p>
        </w:tc>
        <w:tc>
          <w:tcPr>
            <w:tcW w:w="1440" w:type="dxa"/>
            <w:tcBorders>
              <w:top w:val="nil"/>
              <w:left w:val="nil"/>
              <w:bottom w:val="single" w:sz="4" w:space="0" w:color="auto"/>
              <w:right w:val="single" w:sz="4" w:space="0" w:color="auto"/>
            </w:tcBorders>
            <w:shd w:val="clear" w:color="auto" w:fill="auto"/>
            <w:noWrap/>
            <w:vAlign w:val="bottom"/>
            <w:hideMark/>
          </w:tcPr>
          <w:p w14:paraId="0B59F658"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154C542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10,732 </w:t>
            </w:r>
          </w:p>
        </w:tc>
        <w:tc>
          <w:tcPr>
            <w:tcW w:w="1473" w:type="dxa"/>
            <w:tcBorders>
              <w:top w:val="nil"/>
              <w:left w:val="nil"/>
              <w:bottom w:val="single" w:sz="4" w:space="0" w:color="auto"/>
              <w:right w:val="single" w:sz="4" w:space="0" w:color="auto"/>
            </w:tcBorders>
            <w:shd w:val="clear" w:color="auto" w:fill="auto"/>
            <w:noWrap/>
            <w:vAlign w:val="bottom"/>
            <w:hideMark/>
          </w:tcPr>
          <w:p w14:paraId="2C4623C2"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10,732 </w:t>
            </w:r>
          </w:p>
        </w:tc>
      </w:tr>
      <w:tr w:rsidR="00CA3B73" w:rsidRPr="00CA3B73" w14:paraId="2741A832"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5547E584"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30</w:t>
            </w:r>
          </w:p>
        </w:tc>
        <w:tc>
          <w:tcPr>
            <w:tcW w:w="850" w:type="dxa"/>
            <w:tcBorders>
              <w:top w:val="nil"/>
              <w:left w:val="nil"/>
              <w:bottom w:val="single" w:sz="4" w:space="0" w:color="auto"/>
              <w:right w:val="single" w:sz="4" w:space="0" w:color="auto"/>
            </w:tcBorders>
            <w:shd w:val="clear" w:color="auto" w:fill="auto"/>
            <w:noWrap/>
            <w:vAlign w:val="bottom"/>
            <w:hideMark/>
          </w:tcPr>
          <w:p w14:paraId="423CED04"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8474</w:t>
            </w:r>
          </w:p>
        </w:tc>
        <w:tc>
          <w:tcPr>
            <w:tcW w:w="5204" w:type="dxa"/>
            <w:tcBorders>
              <w:top w:val="nil"/>
              <w:left w:val="nil"/>
              <w:bottom w:val="single" w:sz="4" w:space="0" w:color="auto"/>
              <w:right w:val="single" w:sz="4" w:space="0" w:color="auto"/>
            </w:tcBorders>
            <w:shd w:val="clear" w:color="auto" w:fill="auto"/>
            <w:noWrap/>
            <w:vAlign w:val="bottom"/>
            <w:hideMark/>
          </w:tcPr>
          <w:p w14:paraId="365D9A28"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Antelope 66 kV Circuit Breaker Upgrade</w:t>
            </w:r>
          </w:p>
        </w:tc>
        <w:tc>
          <w:tcPr>
            <w:tcW w:w="1440" w:type="dxa"/>
            <w:tcBorders>
              <w:top w:val="nil"/>
              <w:left w:val="nil"/>
              <w:bottom w:val="single" w:sz="4" w:space="0" w:color="auto"/>
              <w:right w:val="single" w:sz="4" w:space="0" w:color="auto"/>
            </w:tcBorders>
            <w:shd w:val="clear" w:color="auto" w:fill="auto"/>
            <w:noWrap/>
            <w:vAlign w:val="bottom"/>
            <w:hideMark/>
          </w:tcPr>
          <w:p w14:paraId="3FEFB2FE"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69B29888"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15,930 </w:t>
            </w:r>
          </w:p>
        </w:tc>
        <w:tc>
          <w:tcPr>
            <w:tcW w:w="1473" w:type="dxa"/>
            <w:tcBorders>
              <w:top w:val="nil"/>
              <w:left w:val="nil"/>
              <w:bottom w:val="single" w:sz="4" w:space="0" w:color="auto"/>
              <w:right w:val="single" w:sz="4" w:space="0" w:color="auto"/>
            </w:tcBorders>
            <w:shd w:val="clear" w:color="auto" w:fill="auto"/>
            <w:noWrap/>
            <w:vAlign w:val="bottom"/>
            <w:hideMark/>
          </w:tcPr>
          <w:p w14:paraId="03928695"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15,930 </w:t>
            </w:r>
          </w:p>
        </w:tc>
      </w:tr>
      <w:tr w:rsidR="00CA3B73" w:rsidRPr="00CA3B73" w14:paraId="7DE8FEE2"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1CDE4422"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31</w:t>
            </w:r>
          </w:p>
        </w:tc>
        <w:tc>
          <w:tcPr>
            <w:tcW w:w="850" w:type="dxa"/>
            <w:tcBorders>
              <w:top w:val="nil"/>
              <w:left w:val="nil"/>
              <w:bottom w:val="single" w:sz="4" w:space="0" w:color="auto"/>
              <w:right w:val="single" w:sz="4" w:space="0" w:color="auto"/>
            </w:tcBorders>
            <w:shd w:val="clear" w:color="auto" w:fill="auto"/>
            <w:noWrap/>
            <w:vAlign w:val="bottom"/>
            <w:hideMark/>
          </w:tcPr>
          <w:p w14:paraId="15E88826"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8506</w:t>
            </w:r>
          </w:p>
        </w:tc>
        <w:tc>
          <w:tcPr>
            <w:tcW w:w="5204" w:type="dxa"/>
            <w:tcBorders>
              <w:top w:val="nil"/>
              <w:left w:val="nil"/>
              <w:bottom w:val="single" w:sz="4" w:space="0" w:color="auto"/>
              <w:right w:val="single" w:sz="4" w:space="0" w:color="auto"/>
            </w:tcBorders>
            <w:shd w:val="clear" w:color="auto" w:fill="auto"/>
            <w:noWrap/>
            <w:vAlign w:val="bottom"/>
            <w:hideMark/>
          </w:tcPr>
          <w:p w14:paraId="14BBCB5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Victor 230 kV Switchrack Reconfiguration</w:t>
            </w:r>
          </w:p>
        </w:tc>
        <w:tc>
          <w:tcPr>
            <w:tcW w:w="1440" w:type="dxa"/>
            <w:tcBorders>
              <w:top w:val="nil"/>
              <w:left w:val="nil"/>
              <w:bottom w:val="single" w:sz="4" w:space="0" w:color="auto"/>
              <w:right w:val="single" w:sz="4" w:space="0" w:color="auto"/>
            </w:tcBorders>
            <w:shd w:val="clear" w:color="auto" w:fill="auto"/>
            <w:noWrap/>
            <w:vAlign w:val="bottom"/>
            <w:hideMark/>
          </w:tcPr>
          <w:p w14:paraId="03745832"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21682140"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9,998 </w:t>
            </w:r>
          </w:p>
        </w:tc>
        <w:tc>
          <w:tcPr>
            <w:tcW w:w="1473" w:type="dxa"/>
            <w:tcBorders>
              <w:top w:val="nil"/>
              <w:left w:val="nil"/>
              <w:bottom w:val="single" w:sz="4" w:space="0" w:color="auto"/>
              <w:right w:val="single" w:sz="4" w:space="0" w:color="auto"/>
            </w:tcBorders>
            <w:shd w:val="clear" w:color="auto" w:fill="auto"/>
            <w:noWrap/>
            <w:vAlign w:val="bottom"/>
            <w:hideMark/>
          </w:tcPr>
          <w:p w14:paraId="32D058B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9,998 </w:t>
            </w:r>
          </w:p>
        </w:tc>
      </w:tr>
      <w:tr w:rsidR="00CA3B73" w:rsidRPr="00CA3B73" w14:paraId="36376BE1"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6E871517"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32</w:t>
            </w:r>
          </w:p>
        </w:tc>
        <w:tc>
          <w:tcPr>
            <w:tcW w:w="850" w:type="dxa"/>
            <w:tcBorders>
              <w:top w:val="nil"/>
              <w:left w:val="nil"/>
              <w:bottom w:val="single" w:sz="4" w:space="0" w:color="auto"/>
              <w:right w:val="single" w:sz="4" w:space="0" w:color="auto"/>
            </w:tcBorders>
            <w:shd w:val="clear" w:color="auto" w:fill="auto"/>
            <w:noWrap/>
            <w:vAlign w:val="bottom"/>
            <w:hideMark/>
          </w:tcPr>
          <w:p w14:paraId="4F411043"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8576</w:t>
            </w:r>
          </w:p>
        </w:tc>
        <w:tc>
          <w:tcPr>
            <w:tcW w:w="5204" w:type="dxa"/>
            <w:tcBorders>
              <w:top w:val="nil"/>
              <w:left w:val="nil"/>
              <w:bottom w:val="single" w:sz="4" w:space="0" w:color="auto"/>
              <w:right w:val="single" w:sz="4" w:space="0" w:color="auto"/>
            </w:tcBorders>
            <w:shd w:val="clear" w:color="auto" w:fill="auto"/>
            <w:noWrap/>
            <w:vAlign w:val="bottom"/>
            <w:hideMark/>
          </w:tcPr>
          <w:p w14:paraId="0E19AC64"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Antelope - Whirlwind Line Upgrade</w:t>
            </w:r>
          </w:p>
        </w:tc>
        <w:tc>
          <w:tcPr>
            <w:tcW w:w="1440" w:type="dxa"/>
            <w:tcBorders>
              <w:top w:val="nil"/>
              <w:left w:val="nil"/>
              <w:bottom w:val="single" w:sz="4" w:space="0" w:color="auto"/>
              <w:right w:val="single" w:sz="4" w:space="0" w:color="auto"/>
            </w:tcBorders>
            <w:shd w:val="clear" w:color="auto" w:fill="auto"/>
            <w:noWrap/>
            <w:vAlign w:val="bottom"/>
            <w:hideMark/>
          </w:tcPr>
          <w:p w14:paraId="09F727D6"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14:paraId="69BFF65C"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5,999 </w:t>
            </w:r>
          </w:p>
        </w:tc>
        <w:tc>
          <w:tcPr>
            <w:tcW w:w="1473" w:type="dxa"/>
            <w:tcBorders>
              <w:top w:val="nil"/>
              <w:left w:val="nil"/>
              <w:bottom w:val="single" w:sz="4" w:space="0" w:color="auto"/>
              <w:right w:val="single" w:sz="4" w:space="0" w:color="auto"/>
            </w:tcBorders>
            <w:shd w:val="clear" w:color="auto" w:fill="auto"/>
            <w:noWrap/>
            <w:vAlign w:val="bottom"/>
            <w:hideMark/>
          </w:tcPr>
          <w:p w14:paraId="045B1B6A"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5,999 </w:t>
            </w:r>
          </w:p>
        </w:tc>
      </w:tr>
      <w:tr w:rsidR="00CA3B73" w:rsidRPr="00CA3B73" w14:paraId="38475F01"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07325D53"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33</w:t>
            </w:r>
          </w:p>
        </w:tc>
        <w:tc>
          <w:tcPr>
            <w:tcW w:w="850" w:type="dxa"/>
            <w:tcBorders>
              <w:top w:val="nil"/>
              <w:left w:val="nil"/>
              <w:bottom w:val="single" w:sz="4" w:space="0" w:color="auto"/>
              <w:right w:val="single" w:sz="4" w:space="0" w:color="auto"/>
            </w:tcBorders>
            <w:shd w:val="clear" w:color="auto" w:fill="auto"/>
            <w:noWrap/>
            <w:vAlign w:val="bottom"/>
            <w:hideMark/>
          </w:tcPr>
          <w:p w14:paraId="3232F0AD"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6420</w:t>
            </w:r>
          </w:p>
        </w:tc>
        <w:tc>
          <w:tcPr>
            <w:tcW w:w="5204" w:type="dxa"/>
            <w:tcBorders>
              <w:top w:val="nil"/>
              <w:left w:val="nil"/>
              <w:bottom w:val="single" w:sz="4" w:space="0" w:color="auto"/>
              <w:right w:val="single" w:sz="4" w:space="0" w:color="auto"/>
            </w:tcBorders>
            <w:shd w:val="clear" w:color="auto" w:fill="auto"/>
            <w:noWrap/>
            <w:vAlign w:val="bottom"/>
            <w:hideMark/>
          </w:tcPr>
          <w:p w14:paraId="6747E72D"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West of Devers</w:t>
            </w:r>
          </w:p>
        </w:tc>
        <w:tc>
          <w:tcPr>
            <w:tcW w:w="1440" w:type="dxa"/>
            <w:tcBorders>
              <w:top w:val="nil"/>
              <w:left w:val="nil"/>
              <w:bottom w:val="single" w:sz="4" w:space="0" w:color="auto"/>
              <w:right w:val="single" w:sz="4" w:space="0" w:color="auto"/>
            </w:tcBorders>
            <w:shd w:val="clear" w:color="auto" w:fill="auto"/>
            <w:noWrap/>
            <w:vAlign w:val="bottom"/>
            <w:hideMark/>
          </w:tcPr>
          <w:p w14:paraId="4C7C8A6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7,891 </w:t>
            </w:r>
          </w:p>
        </w:tc>
        <w:tc>
          <w:tcPr>
            <w:tcW w:w="1440" w:type="dxa"/>
            <w:tcBorders>
              <w:top w:val="nil"/>
              <w:left w:val="nil"/>
              <w:bottom w:val="single" w:sz="4" w:space="0" w:color="auto"/>
              <w:right w:val="single" w:sz="4" w:space="0" w:color="auto"/>
            </w:tcBorders>
            <w:shd w:val="clear" w:color="auto" w:fill="auto"/>
            <w:noWrap/>
            <w:vAlign w:val="bottom"/>
            <w:hideMark/>
          </w:tcPr>
          <w:p w14:paraId="60D58DB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73" w:type="dxa"/>
            <w:tcBorders>
              <w:top w:val="nil"/>
              <w:left w:val="nil"/>
              <w:bottom w:val="single" w:sz="4" w:space="0" w:color="auto"/>
              <w:right w:val="single" w:sz="4" w:space="0" w:color="auto"/>
            </w:tcBorders>
            <w:shd w:val="clear" w:color="auto" w:fill="auto"/>
            <w:noWrap/>
            <w:vAlign w:val="bottom"/>
            <w:hideMark/>
          </w:tcPr>
          <w:p w14:paraId="7BA9B310"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7,891 </w:t>
            </w:r>
          </w:p>
        </w:tc>
      </w:tr>
      <w:tr w:rsidR="00CA3B73" w:rsidRPr="00CA3B73" w14:paraId="53FFE9FC"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25147C50"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34</w:t>
            </w:r>
          </w:p>
        </w:tc>
        <w:tc>
          <w:tcPr>
            <w:tcW w:w="850" w:type="dxa"/>
            <w:tcBorders>
              <w:top w:val="nil"/>
              <w:left w:val="nil"/>
              <w:bottom w:val="single" w:sz="4" w:space="0" w:color="auto"/>
              <w:right w:val="single" w:sz="4" w:space="0" w:color="auto"/>
            </w:tcBorders>
            <w:shd w:val="clear" w:color="auto" w:fill="auto"/>
            <w:noWrap/>
            <w:vAlign w:val="bottom"/>
            <w:hideMark/>
          </w:tcPr>
          <w:p w14:paraId="1DF1BF76"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7546</w:t>
            </w:r>
          </w:p>
        </w:tc>
        <w:tc>
          <w:tcPr>
            <w:tcW w:w="5204" w:type="dxa"/>
            <w:tcBorders>
              <w:top w:val="nil"/>
              <w:left w:val="nil"/>
              <w:bottom w:val="single" w:sz="4" w:space="0" w:color="auto"/>
              <w:right w:val="single" w:sz="4" w:space="0" w:color="auto"/>
            </w:tcBorders>
            <w:shd w:val="clear" w:color="auto" w:fill="auto"/>
            <w:noWrap/>
            <w:vAlign w:val="bottom"/>
            <w:hideMark/>
          </w:tcPr>
          <w:p w14:paraId="5E4AE6C2"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Eldorado-Lugo-Mohave (ELM) Upgrade</w:t>
            </w:r>
          </w:p>
        </w:tc>
        <w:tc>
          <w:tcPr>
            <w:tcW w:w="1440" w:type="dxa"/>
            <w:tcBorders>
              <w:top w:val="nil"/>
              <w:left w:val="nil"/>
              <w:bottom w:val="single" w:sz="4" w:space="0" w:color="auto"/>
              <w:right w:val="single" w:sz="4" w:space="0" w:color="auto"/>
            </w:tcBorders>
            <w:shd w:val="clear" w:color="auto" w:fill="auto"/>
            <w:noWrap/>
            <w:vAlign w:val="bottom"/>
            <w:hideMark/>
          </w:tcPr>
          <w:p w14:paraId="7A8398F5"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262,651 </w:t>
            </w:r>
          </w:p>
        </w:tc>
        <w:tc>
          <w:tcPr>
            <w:tcW w:w="1440" w:type="dxa"/>
            <w:tcBorders>
              <w:top w:val="nil"/>
              <w:left w:val="nil"/>
              <w:bottom w:val="single" w:sz="4" w:space="0" w:color="auto"/>
              <w:right w:val="single" w:sz="4" w:space="0" w:color="auto"/>
            </w:tcBorders>
            <w:shd w:val="clear" w:color="auto" w:fill="auto"/>
            <w:noWrap/>
            <w:vAlign w:val="bottom"/>
            <w:hideMark/>
          </w:tcPr>
          <w:p w14:paraId="258FF235"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1,039 </w:t>
            </w:r>
          </w:p>
        </w:tc>
        <w:tc>
          <w:tcPr>
            <w:tcW w:w="1473" w:type="dxa"/>
            <w:tcBorders>
              <w:top w:val="nil"/>
              <w:left w:val="nil"/>
              <w:bottom w:val="single" w:sz="4" w:space="0" w:color="auto"/>
              <w:right w:val="single" w:sz="4" w:space="0" w:color="auto"/>
            </w:tcBorders>
            <w:shd w:val="clear" w:color="auto" w:fill="auto"/>
            <w:noWrap/>
            <w:vAlign w:val="bottom"/>
            <w:hideMark/>
          </w:tcPr>
          <w:p w14:paraId="1E4B90D4"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263,690 </w:t>
            </w:r>
          </w:p>
        </w:tc>
      </w:tr>
      <w:tr w:rsidR="00CA3B73" w:rsidRPr="00CA3B73" w14:paraId="2A29725F"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1BC041A4"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35</w:t>
            </w:r>
          </w:p>
        </w:tc>
        <w:tc>
          <w:tcPr>
            <w:tcW w:w="850" w:type="dxa"/>
            <w:tcBorders>
              <w:top w:val="nil"/>
              <w:left w:val="nil"/>
              <w:bottom w:val="single" w:sz="4" w:space="0" w:color="auto"/>
              <w:right w:val="single" w:sz="4" w:space="0" w:color="auto"/>
            </w:tcBorders>
            <w:shd w:val="clear" w:color="auto" w:fill="auto"/>
            <w:noWrap/>
            <w:vAlign w:val="bottom"/>
            <w:hideMark/>
          </w:tcPr>
          <w:p w14:paraId="39A2E2EE"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7555</w:t>
            </w:r>
          </w:p>
        </w:tc>
        <w:tc>
          <w:tcPr>
            <w:tcW w:w="5204" w:type="dxa"/>
            <w:tcBorders>
              <w:top w:val="nil"/>
              <w:left w:val="nil"/>
              <w:bottom w:val="single" w:sz="4" w:space="0" w:color="auto"/>
              <w:right w:val="single" w:sz="4" w:space="0" w:color="auto"/>
            </w:tcBorders>
            <w:shd w:val="clear" w:color="auto" w:fill="auto"/>
            <w:noWrap/>
            <w:vAlign w:val="bottom"/>
            <w:hideMark/>
          </w:tcPr>
          <w:p w14:paraId="38E8A0B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Mesa Substation</w:t>
            </w:r>
          </w:p>
        </w:tc>
        <w:tc>
          <w:tcPr>
            <w:tcW w:w="1440" w:type="dxa"/>
            <w:tcBorders>
              <w:top w:val="nil"/>
              <w:left w:val="nil"/>
              <w:bottom w:val="single" w:sz="4" w:space="0" w:color="auto"/>
              <w:right w:val="single" w:sz="4" w:space="0" w:color="auto"/>
            </w:tcBorders>
            <w:shd w:val="clear" w:color="auto" w:fill="auto"/>
            <w:noWrap/>
            <w:vAlign w:val="bottom"/>
            <w:hideMark/>
          </w:tcPr>
          <w:p w14:paraId="4F69BD8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9,587 </w:t>
            </w:r>
          </w:p>
        </w:tc>
        <w:tc>
          <w:tcPr>
            <w:tcW w:w="1440" w:type="dxa"/>
            <w:tcBorders>
              <w:top w:val="nil"/>
              <w:left w:val="nil"/>
              <w:bottom w:val="single" w:sz="4" w:space="0" w:color="auto"/>
              <w:right w:val="single" w:sz="4" w:space="0" w:color="auto"/>
            </w:tcBorders>
            <w:shd w:val="clear" w:color="auto" w:fill="auto"/>
            <w:noWrap/>
            <w:vAlign w:val="bottom"/>
            <w:hideMark/>
          </w:tcPr>
          <w:p w14:paraId="2697ECD5"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   </w:t>
            </w:r>
          </w:p>
        </w:tc>
        <w:tc>
          <w:tcPr>
            <w:tcW w:w="1473" w:type="dxa"/>
            <w:tcBorders>
              <w:top w:val="nil"/>
              <w:left w:val="nil"/>
              <w:bottom w:val="single" w:sz="4" w:space="0" w:color="auto"/>
              <w:right w:val="single" w:sz="4" w:space="0" w:color="auto"/>
            </w:tcBorders>
            <w:shd w:val="clear" w:color="auto" w:fill="auto"/>
            <w:noWrap/>
            <w:vAlign w:val="bottom"/>
            <w:hideMark/>
          </w:tcPr>
          <w:p w14:paraId="2D658198"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9,587 </w:t>
            </w:r>
          </w:p>
        </w:tc>
      </w:tr>
      <w:tr w:rsidR="00CA3B73" w:rsidRPr="00CA3B73" w14:paraId="4E30C5A2"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13156B4D"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36</w:t>
            </w:r>
          </w:p>
        </w:tc>
        <w:tc>
          <w:tcPr>
            <w:tcW w:w="850" w:type="dxa"/>
            <w:tcBorders>
              <w:top w:val="nil"/>
              <w:left w:val="nil"/>
              <w:bottom w:val="single" w:sz="4" w:space="0" w:color="auto"/>
              <w:right w:val="single" w:sz="4" w:space="0" w:color="auto"/>
            </w:tcBorders>
            <w:shd w:val="clear" w:color="auto" w:fill="auto"/>
            <w:noWrap/>
            <w:vAlign w:val="bottom"/>
            <w:hideMark/>
          </w:tcPr>
          <w:p w14:paraId="37C212B5" w14:textId="77777777" w:rsidR="00CA3B73" w:rsidRPr="00CA3B73" w:rsidRDefault="00CA3B73" w:rsidP="002F3FB5">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Various</w:t>
            </w:r>
          </w:p>
        </w:tc>
        <w:tc>
          <w:tcPr>
            <w:tcW w:w="5204" w:type="dxa"/>
            <w:tcBorders>
              <w:top w:val="nil"/>
              <w:left w:val="nil"/>
              <w:bottom w:val="single" w:sz="4" w:space="0" w:color="auto"/>
              <w:right w:val="single" w:sz="4" w:space="0" w:color="auto"/>
            </w:tcBorders>
            <w:shd w:val="clear" w:color="auto" w:fill="auto"/>
            <w:noWrap/>
            <w:vAlign w:val="bottom"/>
            <w:hideMark/>
          </w:tcPr>
          <w:p w14:paraId="2B548A43"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Less than $5m each </w:t>
            </w:r>
          </w:p>
        </w:tc>
        <w:tc>
          <w:tcPr>
            <w:tcW w:w="1440" w:type="dxa"/>
            <w:tcBorders>
              <w:top w:val="nil"/>
              <w:left w:val="nil"/>
              <w:bottom w:val="single" w:sz="4" w:space="0" w:color="auto"/>
              <w:right w:val="single" w:sz="4" w:space="0" w:color="auto"/>
            </w:tcBorders>
            <w:shd w:val="clear" w:color="auto" w:fill="auto"/>
            <w:noWrap/>
            <w:vAlign w:val="bottom"/>
            <w:hideMark/>
          </w:tcPr>
          <w:p w14:paraId="65490461" w14:textId="77777777" w:rsidR="00CA3B73" w:rsidRPr="00CA3B73" w:rsidRDefault="00CA3B73" w:rsidP="00CA3B73">
            <w:pPr>
              <w:spacing w:after="0" w:line="240" w:lineRule="auto"/>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xml:space="preserve">                      6 </w:t>
            </w:r>
          </w:p>
        </w:tc>
        <w:tc>
          <w:tcPr>
            <w:tcW w:w="1440" w:type="dxa"/>
            <w:tcBorders>
              <w:top w:val="nil"/>
              <w:left w:val="nil"/>
              <w:bottom w:val="single" w:sz="4" w:space="0" w:color="auto"/>
              <w:right w:val="single" w:sz="4" w:space="0" w:color="auto"/>
            </w:tcBorders>
            <w:shd w:val="clear" w:color="auto" w:fill="auto"/>
            <w:noWrap/>
            <w:vAlign w:val="bottom"/>
            <w:hideMark/>
          </w:tcPr>
          <w:p w14:paraId="3D39E77D" w14:textId="0076A613" w:rsidR="00CA3B73" w:rsidRPr="00CA3B73" w:rsidRDefault="00610027" w:rsidP="00610027">
            <w:pPr>
              <w:spacing w:after="0" w:line="240" w:lineRule="auto"/>
              <w:jc w:val="right"/>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76,258</w:t>
            </w:r>
            <w:r w:rsidR="00CA3B73" w:rsidRPr="00CA3B73">
              <w:rPr>
                <w:rFonts w:ascii="Times New Roman" w:eastAsia="Times New Roman" w:hAnsi="Times New Roman" w:cs="Times New Roman"/>
                <w:color w:val="000000"/>
                <w:kern w:val="0"/>
                <w:sz w:val="20"/>
                <w:szCs w:val="20"/>
                <w14:ligatures w14:val="none"/>
              </w:rPr>
              <w:t xml:space="preserve"> </w:t>
            </w:r>
          </w:p>
        </w:tc>
        <w:tc>
          <w:tcPr>
            <w:tcW w:w="1473" w:type="dxa"/>
            <w:tcBorders>
              <w:top w:val="nil"/>
              <w:left w:val="nil"/>
              <w:bottom w:val="single" w:sz="4" w:space="0" w:color="auto"/>
              <w:right w:val="single" w:sz="4" w:space="0" w:color="auto"/>
            </w:tcBorders>
            <w:shd w:val="clear" w:color="auto" w:fill="auto"/>
            <w:noWrap/>
            <w:vAlign w:val="bottom"/>
            <w:hideMark/>
          </w:tcPr>
          <w:p w14:paraId="71726F9D" w14:textId="273E9A3A" w:rsidR="00CA3B73" w:rsidRPr="00CA3B73" w:rsidRDefault="00610027" w:rsidP="00610027">
            <w:pPr>
              <w:spacing w:after="0" w:line="240" w:lineRule="auto"/>
              <w:jc w:val="right"/>
              <w:rPr>
                <w:rFonts w:ascii="Times New Roman" w:eastAsia="Times New Roman" w:hAnsi="Times New Roman" w:cs="Times New Roman"/>
                <w:color w:val="000000"/>
                <w:kern w:val="0"/>
                <w:sz w:val="20"/>
                <w:szCs w:val="20"/>
                <w14:ligatures w14:val="none"/>
              </w:rPr>
            </w:pPr>
            <w:r>
              <w:rPr>
                <w:rFonts w:ascii="Times New Roman" w:eastAsia="Times New Roman" w:hAnsi="Times New Roman" w:cs="Times New Roman"/>
                <w:color w:val="000000"/>
                <w:kern w:val="0"/>
                <w:sz w:val="20"/>
                <w:szCs w:val="20"/>
                <w14:ligatures w14:val="none"/>
              </w:rPr>
              <w:t>76,264</w:t>
            </w:r>
          </w:p>
        </w:tc>
      </w:tr>
      <w:tr w:rsidR="00CA3B73" w:rsidRPr="00CA3B73" w14:paraId="18F4258F" w14:textId="77777777" w:rsidTr="101F757E">
        <w:trPr>
          <w:trHeight w:val="284"/>
        </w:trPr>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401AAB66" w14:textId="77777777" w:rsidR="00CA3B73" w:rsidRPr="00CA3B73" w:rsidRDefault="00CA3B73" w:rsidP="00CA3B73">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w:t>
            </w:r>
          </w:p>
        </w:tc>
        <w:tc>
          <w:tcPr>
            <w:tcW w:w="850" w:type="dxa"/>
            <w:tcBorders>
              <w:top w:val="nil"/>
              <w:left w:val="nil"/>
              <w:bottom w:val="single" w:sz="4" w:space="0" w:color="auto"/>
              <w:right w:val="single" w:sz="4" w:space="0" w:color="auto"/>
            </w:tcBorders>
            <w:shd w:val="clear" w:color="auto" w:fill="auto"/>
            <w:noWrap/>
            <w:vAlign w:val="bottom"/>
            <w:hideMark/>
          </w:tcPr>
          <w:p w14:paraId="5A2E2FD6" w14:textId="77777777" w:rsidR="00CA3B73" w:rsidRPr="00CA3B73" w:rsidRDefault="00CA3B73" w:rsidP="00CA3B73">
            <w:pPr>
              <w:spacing w:after="0" w:line="240" w:lineRule="auto"/>
              <w:jc w:val="center"/>
              <w:rPr>
                <w:rFonts w:ascii="Times New Roman" w:eastAsia="Times New Roman" w:hAnsi="Times New Roman" w:cs="Times New Roman"/>
                <w:color w:val="000000"/>
                <w:kern w:val="0"/>
                <w:sz w:val="20"/>
                <w:szCs w:val="20"/>
                <w14:ligatures w14:val="none"/>
              </w:rPr>
            </w:pPr>
            <w:r w:rsidRPr="00CA3B73">
              <w:rPr>
                <w:rFonts w:ascii="Times New Roman" w:eastAsia="Times New Roman" w:hAnsi="Times New Roman" w:cs="Times New Roman"/>
                <w:color w:val="000000"/>
                <w:kern w:val="0"/>
                <w:sz w:val="20"/>
                <w:szCs w:val="20"/>
                <w14:ligatures w14:val="none"/>
              </w:rPr>
              <w:t> </w:t>
            </w:r>
          </w:p>
        </w:tc>
        <w:tc>
          <w:tcPr>
            <w:tcW w:w="5204" w:type="dxa"/>
            <w:tcBorders>
              <w:top w:val="nil"/>
              <w:left w:val="nil"/>
              <w:bottom w:val="single" w:sz="4" w:space="0" w:color="auto"/>
              <w:right w:val="single" w:sz="4" w:space="0" w:color="auto"/>
            </w:tcBorders>
            <w:shd w:val="clear" w:color="auto" w:fill="auto"/>
            <w:noWrap/>
            <w:vAlign w:val="bottom"/>
            <w:hideMark/>
          </w:tcPr>
          <w:p w14:paraId="38EDFF08" w14:textId="77777777" w:rsidR="00CA3B73" w:rsidRPr="00CA3B73" w:rsidRDefault="00CA3B73" w:rsidP="00CA3B73">
            <w:pPr>
              <w:spacing w:after="0" w:line="240" w:lineRule="auto"/>
              <w:ind w:firstLineChars="200" w:firstLine="402"/>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Total</w:t>
            </w:r>
          </w:p>
        </w:tc>
        <w:tc>
          <w:tcPr>
            <w:tcW w:w="1440" w:type="dxa"/>
            <w:tcBorders>
              <w:top w:val="nil"/>
              <w:left w:val="nil"/>
              <w:bottom w:val="single" w:sz="4" w:space="0" w:color="auto"/>
              <w:right w:val="single" w:sz="4" w:space="0" w:color="auto"/>
            </w:tcBorders>
            <w:shd w:val="clear" w:color="auto" w:fill="auto"/>
            <w:noWrap/>
            <w:vAlign w:val="bottom"/>
            <w:hideMark/>
          </w:tcPr>
          <w:p w14:paraId="1D5DAB07" w14:textId="0629AFE7" w:rsidR="00CA3B73" w:rsidRPr="00CA3B73" w:rsidRDefault="00CA3B73" w:rsidP="00CA3B73">
            <w:pPr>
              <w:spacing w:after="0" w:line="240" w:lineRule="auto"/>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 xml:space="preserve">       </w:t>
            </w:r>
            <w:r w:rsidR="00363465">
              <w:rPr>
                <w:rFonts w:ascii="Times New Roman" w:eastAsia="Times New Roman" w:hAnsi="Times New Roman" w:cs="Times New Roman"/>
                <w:b/>
                <w:bCs/>
                <w:color w:val="000000"/>
                <w:kern w:val="0"/>
                <w:sz w:val="20"/>
                <w:szCs w:val="20"/>
                <w14:ligatures w14:val="none"/>
              </w:rPr>
              <w:t xml:space="preserve">  </w:t>
            </w:r>
            <w:r w:rsidRPr="00CA3B73">
              <w:rPr>
                <w:rFonts w:ascii="Times New Roman" w:eastAsia="Times New Roman" w:hAnsi="Times New Roman" w:cs="Times New Roman"/>
                <w:b/>
                <w:bCs/>
                <w:color w:val="000000"/>
                <w:kern w:val="0"/>
                <w:sz w:val="20"/>
                <w:szCs w:val="20"/>
                <w14:ligatures w14:val="none"/>
              </w:rPr>
              <w:t xml:space="preserve">  280,135 </w:t>
            </w:r>
          </w:p>
        </w:tc>
        <w:tc>
          <w:tcPr>
            <w:tcW w:w="1440" w:type="dxa"/>
            <w:tcBorders>
              <w:top w:val="nil"/>
              <w:left w:val="nil"/>
              <w:bottom w:val="single" w:sz="4" w:space="0" w:color="auto"/>
              <w:right w:val="single" w:sz="4" w:space="0" w:color="auto"/>
            </w:tcBorders>
            <w:shd w:val="clear" w:color="auto" w:fill="auto"/>
            <w:noWrap/>
            <w:vAlign w:val="bottom"/>
            <w:hideMark/>
          </w:tcPr>
          <w:p w14:paraId="2D76EC35" w14:textId="2DC7394E" w:rsidR="00CA3B73" w:rsidRPr="00CA3B73" w:rsidRDefault="00CA3B73" w:rsidP="00CA3B73">
            <w:pPr>
              <w:spacing w:after="0" w:line="240" w:lineRule="auto"/>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 xml:space="preserve">  </w:t>
            </w:r>
            <w:r w:rsidR="00363465">
              <w:rPr>
                <w:rFonts w:ascii="Times New Roman" w:eastAsia="Times New Roman" w:hAnsi="Times New Roman" w:cs="Times New Roman"/>
                <w:b/>
                <w:bCs/>
                <w:color w:val="000000"/>
                <w:kern w:val="0"/>
                <w:sz w:val="20"/>
                <w:szCs w:val="20"/>
                <w14:ligatures w14:val="none"/>
              </w:rPr>
              <w:t xml:space="preserve">  </w:t>
            </w:r>
            <w:r w:rsidRPr="00CA3B73">
              <w:rPr>
                <w:rFonts w:ascii="Times New Roman" w:eastAsia="Times New Roman" w:hAnsi="Times New Roman" w:cs="Times New Roman"/>
                <w:b/>
                <w:bCs/>
                <w:color w:val="000000"/>
                <w:kern w:val="0"/>
                <w:sz w:val="20"/>
                <w:szCs w:val="20"/>
                <w14:ligatures w14:val="none"/>
              </w:rPr>
              <w:t xml:space="preserve">       617,511 </w:t>
            </w:r>
          </w:p>
        </w:tc>
        <w:tc>
          <w:tcPr>
            <w:tcW w:w="1473" w:type="dxa"/>
            <w:tcBorders>
              <w:top w:val="nil"/>
              <w:left w:val="nil"/>
              <w:bottom w:val="single" w:sz="4" w:space="0" w:color="auto"/>
              <w:right w:val="single" w:sz="4" w:space="0" w:color="auto"/>
            </w:tcBorders>
            <w:shd w:val="clear" w:color="auto" w:fill="auto"/>
            <w:noWrap/>
            <w:vAlign w:val="bottom"/>
            <w:hideMark/>
          </w:tcPr>
          <w:p w14:paraId="46507DBA" w14:textId="25538F03" w:rsidR="00CA3B73" w:rsidRPr="00CA3B73" w:rsidRDefault="00CA3B73" w:rsidP="00CA3B73">
            <w:pPr>
              <w:spacing w:after="0" w:line="240" w:lineRule="auto"/>
              <w:rPr>
                <w:rFonts w:ascii="Times New Roman" w:eastAsia="Times New Roman" w:hAnsi="Times New Roman" w:cs="Times New Roman"/>
                <w:b/>
                <w:bCs/>
                <w:color w:val="000000"/>
                <w:kern w:val="0"/>
                <w:sz w:val="20"/>
                <w:szCs w:val="20"/>
                <w14:ligatures w14:val="none"/>
              </w:rPr>
            </w:pPr>
            <w:r w:rsidRPr="00CA3B73">
              <w:rPr>
                <w:rFonts w:ascii="Times New Roman" w:eastAsia="Times New Roman" w:hAnsi="Times New Roman" w:cs="Times New Roman"/>
                <w:b/>
                <w:bCs/>
                <w:color w:val="000000"/>
                <w:kern w:val="0"/>
                <w:sz w:val="20"/>
                <w:szCs w:val="20"/>
                <w14:ligatures w14:val="none"/>
              </w:rPr>
              <w:t xml:space="preserve">      </w:t>
            </w:r>
            <w:r w:rsidR="00363465">
              <w:rPr>
                <w:rFonts w:ascii="Times New Roman" w:eastAsia="Times New Roman" w:hAnsi="Times New Roman" w:cs="Times New Roman"/>
                <w:b/>
                <w:bCs/>
                <w:color w:val="000000"/>
                <w:kern w:val="0"/>
                <w:sz w:val="20"/>
                <w:szCs w:val="20"/>
                <w14:ligatures w14:val="none"/>
              </w:rPr>
              <w:t xml:space="preserve">  </w:t>
            </w:r>
            <w:r w:rsidRPr="00CA3B73">
              <w:rPr>
                <w:rFonts w:ascii="Times New Roman" w:eastAsia="Times New Roman" w:hAnsi="Times New Roman" w:cs="Times New Roman"/>
                <w:b/>
                <w:bCs/>
                <w:color w:val="000000"/>
                <w:kern w:val="0"/>
                <w:sz w:val="20"/>
                <w:szCs w:val="20"/>
                <w14:ligatures w14:val="none"/>
              </w:rPr>
              <w:t xml:space="preserve">   897,646 </w:t>
            </w:r>
          </w:p>
        </w:tc>
      </w:tr>
    </w:tbl>
    <w:p w14:paraId="5D83693A" w14:textId="77777777" w:rsidR="00EE1FB9" w:rsidRDefault="00EE1FB9" w:rsidP="00EE1FB9">
      <w:pPr>
        <w:pStyle w:val="StyleHeading1TextLeft0Hanging025"/>
        <w:ind w:left="0" w:firstLine="0"/>
        <w:rPr>
          <w:color w:val="000000" w:themeColor="text1"/>
          <w:sz w:val="26"/>
          <w:szCs w:val="26"/>
        </w:rPr>
      </w:pPr>
    </w:p>
    <w:p w14:paraId="1ABF5BAA" w14:textId="77777777" w:rsidR="00916C1D" w:rsidRPr="00D1084B" w:rsidRDefault="00916C1D" w:rsidP="00916C1D">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Sylmar Convertor Station: Miscellaneous Capital Maintenance (PIN: 3138)</w:t>
      </w:r>
    </w:p>
    <w:p w14:paraId="3A2C4DFE" w14:textId="77777777" w:rsidR="00916C1D" w:rsidRPr="00D1084B" w:rsidRDefault="00916C1D" w:rsidP="00916C1D">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Sylmar Converter Station is the southern converter station of the Pacific DC Intertie (PDCI), an electric power transmission line which transmits electricity from the Celilo Converter Station outside The Dalles, Oregon to Sylmar in the northeastern San Fernando Valley region of Los Angeles, California. The station converts the ±500 kV high voltage direct current (HVDC) coming from the northern converter station Celilo to alternating current (AC) at 60 Hz and 230 kV synchronized with the Los Angeles power grid. The station capacity is 3,100 megawatts and it is jointly owned by Southern California Edison (SCE) and Los Angeles Department of Water and Power (LADWP).</w:t>
      </w:r>
    </w:p>
    <w:p w14:paraId="50B8DCD1" w14:textId="77777777" w:rsidR="00916C1D" w:rsidRPr="00D1084B" w:rsidRDefault="00916C1D" w:rsidP="00916C1D">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As a 50% joint owner of the PDCI, SCE is contractually obligated to cooperate with LADWP in any capital replacements, additions, and betterments related to the PDCI. LADWP submits its proposed capital project and obtains SCE approval. SCE is responsible </w:t>
      </w:r>
      <w:proofErr w:type="gramStart"/>
      <w:r w:rsidRPr="00D1084B">
        <w:rPr>
          <w:rFonts w:ascii="Times New Roman" w:eastAsia="Times New Roman" w:hAnsi="Times New Roman" w:cs="Times New Roman"/>
          <w:color w:val="000000" w:themeColor="text1"/>
          <w:sz w:val="26"/>
          <w:szCs w:val="26"/>
        </w:rPr>
        <w:t>to pay</w:t>
      </w:r>
      <w:proofErr w:type="gramEnd"/>
      <w:r w:rsidRPr="00D1084B">
        <w:rPr>
          <w:rFonts w:ascii="Times New Roman" w:eastAsia="Times New Roman" w:hAnsi="Times New Roman" w:cs="Times New Roman"/>
          <w:color w:val="000000" w:themeColor="text1"/>
          <w:sz w:val="26"/>
          <w:szCs w:val="26"/>
        </w:rPr>
        <w:t xml:space="preserve"> for its 50% share of the LADWP’s capital costs. The forecasted capital expenditures are for miscellaneous maintenance capital work activities, which include, but not limited to polymer insulators, removal of old electrodes, and bowed towers. </w:t>
      </w:r>
    </w:p>
    <w:p w14:paraId="5EFC2C12" w14:textId="34751D50" w:rsidR="00916C1D" w:rsidRPr="00D1084B" w:rsidRDefault="00916C1D" w:rsidP="00916C1D">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estimated ISO-related direct capital expenditures that are projected to go into </w:t>
      </w:r>
      <w:proofErr w:type="gramStart"/>
      <w:r w:rsidRPr="00D1084B">
        <w:rPr>
          <w:rFonts w:ascii="Times New Roman" w:eastAsia="Times New Roman" w:hAnsi="Times New Roman" w:cs="Times New Roman"/>
          <w:color w:val="000000" w:themeColor="text1"/>
          <w:sz w:val="26"/>
          <w:szCs w:val="26"/>
        </w:rPr>
        <w:t>rate</w:t>
      </w:r>
      <w:proofErr w:type="gramEnd"/>
      <w:r w:rsidRPr="00D1084B">
        <w:rPr>
          <w:rFonts w:ascii="Times New Roman" w:eastAsia="Times New Roman" w:hAnsi="Times New Roman" w:cs="Times New Roman"/>
          <w:color w:val="000000" w:themeColor="text1"/>
          <w:sz w:val="26"/>
          <w:szCs w:val="26"/>
        </w:rPr>
        <w:t xml:space="preserve"> base during this period are $8.</w:t>
      </w:r>
      <w:r w:rsidR="009E52C8">
        <w:rPr>
          <w:rFonts w:ascii="Times New Roman" w:eastAsia="Times New Roman" w:hAnsi="Times New Roman" w:cs="Times New Roman"/>
          <w:color w:val="000000" w:themeColor="text1"/>
          <w:sz w:val="26"/>
          <w:szCs w:val="26"/>
        </w:rPr>
        <w:t>794</w:t>
      </w:r>
      <w:r w:rsidRPr="00D1084B">
        <w:rPr>
          <w:rFonts w:ascii="Times New Roman" w:eastAsia="Times New Roman" w:hAnsi="Times New Roman" w:cs="Times New Roman"/>
          <w:color w:val="000000" w:themeColor="text1"/>
          <w:sz w:val="26"/>
          <w:szCs w:val="26"/>
        </w:rPr>
        <w:t xml:space="preserve"> million.</w:t>
      </w:r>
    </w:p>
    <w:p w14:paraId="062A2AFA" w14:textId="77777777" w:rsidR="00916C1D" w:rsidRDefault="00916C1D" w:rsidP="00EE1FB9">
      <w:pPr>
        <w:pStyle w:val="StyleHeading1TextLeft0Hanging025"/>
        <w:ind w:left="0" w:firstLine="0"/>
        <w:rPr>
          <w:color w:val="000000" w:themeColor="text1"/>
          <w:sz w:val="26"/>
          <w:szCs w:val="26"/>
        </w:rPr>
      </w:pPr>
    </w:p>
    <w:p w14:paraId="391D6027" w14:textId="77777777" w:rsidR="00BA2080" w:rsidRPr="00D1084B" w:rsidRDefault="00BA2080" w:rsidP="00BA2080">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Critical Infrastructure Spares (PIN: 3362)</w:t>
      </w:r>
    </w:p>
    <w:p w14:paraId="36FE9D9F" w14:textId="77777777" w:rsidR="00BA2080" w:rsidRPr="00D1084B" w:rsidRDefault="00BA2080" w:rsidP="00835CB8">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Spare Transformer Equipment Program (STEP), which is maintained within the FERC Emergency Equipment Program (EEP), is a voluntary transformer sharing program put together to help mitigate the impact of a terrorist event that targets key substation equipment. The EEP maintains an inventory of major substation equipment such as power transformers, circuit breakers, and disconnect switches not readily available in the marketplace for procurement and delivery. To avoid or mitigate potential reductions in reliability, SCE maintains a reserve inventory of such equipment. Inventory levels are prioritized based on in-serviced equipment counts to ensure grid reliability.  The STEP focuses on large transformers, as the lead times are well over a year. Any investor-owned, government-owned, or rural electric cooperative electric company in the United States or Canada may participate in the program. </w:t>
      </w:r>
    </w:p>
    <w:p w14:paraId="60F1B45A" w14:textId="77777777" w:rsidR="00BA2080" w:rsidRPr="00D1084B" w:rsidRDefault="00BA2080" w:rsidP="00BA2080">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sharing agreement is triggered by an act of sabotage on a utility substation. The impacted utility must use up its own available resources to mitigate the damage prior to calling on the sharing agreement. Thus, work within this program is reactive and prioritized according to criticality.</w:t>
      </w:r>
    </w:p>
    <w:p w14:paraId="33A0C77F" w14:textId="5D34310C" w:rsidR="00BA2080" w:rsidRDefault="00BA2080" w:rsidP="00BA2080">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7543F0">
        <w:rPr>
          <w:rFonts w:ascii="Times New Roman" w:eastAsia="Times New Roman" w:hAnsi="Times New Roman" w:cs="Times New Roman"/>
          <w:color w:val="000000" w:themeColor="text1"/>
          <w:sz w:val="26"/>
          <w:szCs w:val="26"/>
        </w:rPr>
        <w:t>8.611</w:t>
      </w:r>
      <w:r w:rsidRPr="00D1084B">
        <w:rPr>
          <w:rFonts w:ascii="Times New Roman" w:eastAsia="Times New Roman" w:hAnsi="Times New Roman" w:cs="Times New Roman"/>
          <w:color w:val="000000" w:themeColor="text1"/>
          <w:sz w:val="26"/>
          <w:szCs w:val="26"/>
        </w:rPr>
        <w:t xml:space="preserve"> million.</w:t>
      </w:r>
    </w:p>
    <w:p w14:paraId="2AE96FC1" w14:textId="77777777" w:rsidR="00B773AB" w:rsidRPr="00D1084B" w:rsidRDefault="00B773AB" w:rsidP="00BA2080">
      <w:pPr>
        <w:spacing w:after="0" w:line="360" w:lineRule="auto"/>
        <w:ind w:left="720" w:firstLine="720"/>
        <w:rPr>
          <w:rFonts w:ascii="Times New Roman" w:eastAsia="Times New Roman" w:hAnsi="Times New Roman" w:cs="Times New Roman"/>
          <w:color w:val="000000" w:themeColor="text1"/>
          <w:sz w:val="26"/>
          <w:szCs w:val="26"/>
        </w:rPr>
      </w:pPr>
    </w:p>
    <w:p w14:paraId="1FBC4098" w14:textId="77777777" w:rsidR="00792B0A" w:rsidRPr="00D1084B" w:rsidRDefault="00792B0A" w:rsidP="00792B0A">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lastRenderedPageBreak/>
        <w:t>Substation Planned Maintenance Replacements (PIN: 3363)</w:t>
      </w:r>
    </w:p>
    <w:p w14:paraId="1406BD65" w14:textId="77777777" w:rsidR="00792B0A" w:rsidRPr="00D1084B" w:rsidRDefault="00792B0A"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Substation Planned Capital Maintenance captures the labor, equipment, and other material costs to remove and replace assets not identified in other replacement programs.  This is a programmatic approach that allows SCE to proactively plan work over a controlled schedule, perform any necessary engineering design activity, and allocate and manage resources effectively. Activities are predominantly like-for-like replacements and maintenance which are identified and planned for in advance. Examples of such work include replacement of PT's, </w:t>
      </w:r>
      <w:proofErr w:type="gramStart"/>
      <w:r w:rsidRPr="00D1084B">
        <w:rPr>
          <w:rFonts w:ascii="Times New Roman" w:eastAsia="Times New Roman" w:hAnsi="Times New Roman" w:cs="Times New Roman"/>
          <w:color w:val="000000" w:themeColor="text1"/>
          <w:sz w:val="26"/>
          <w:szCs w:val="26"/>
        </w:rPr>
        <w:t>CT's</w:t>
      </w:r>
      <w:proofErr w:type="gramEnd"/>
      <w:r w:rsidRPr="00D1084B">
        <w:rPr>
          <w:rFonts w:ascii="Times New Roman" w:eastAsia="Times New Roman" w:hAnsi="Times New Roman" w:cs="Times New Roman"/>
          <w:color w:val="000000" w:themeColor="text1"/>
          <w:sz w:val="26"/>
          <w:szCs w:val="26"/>
        </w:rPr>
        <w:t>, as well as Circuit Breakers, B-Banks and Disconnects that are not covered under another capital program.</w:t>
      </w:r>
    </w:p>
    <w:p w14:paraId="619C8BAE" w14:textId="15A4DE76" w:rsidR="00792B0A" w:rsidRPr="00D1084B" w:rsidRDefault="00792B0A" w:rsidP="00792B0A">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$1</w:t>
      </w:r>
      <w:r>
        <w:rPr>
          <w:rFonts w:ascii="Times New Roman" w:eastAsia="Times New Roman" w:hAnsi="Times New Roman" w:cs="Times New Roman"/>
          <w:color w:val="000000" w:themeColor="text1"/>
          <w:sz w:val="26"/>
          <w:szCs w:val="26"/>
        </w:rPr>
        <w:t>2.773</w:t>
      </w:r>
      <w:r w:rsidRPr="00D1084B">
        <w:rPr>
          <w:rFonts w:ascii="Times New Roman" w:eastAsia="Times New Roman" w:hAnsi="Times New Roman" w:cs="Times New Roman"/>
          <w:color w:val="000000" w:themeColor="text1"/>
          <w:sz w:val="26"/>
          <w:szCs w:val="26"/>
        </w:rPr>
        <w:t xml:space="preserve"> million.</w:t>
      </w:r>
    </w:p>
    <w:p w14:paraId="49541102" w14:textId="77777777" w:rsidR="00BA2080" w:rsidRDefault="00BA2080" w:rsidP="00EE1FB9">
      <w:pPr>
        <w:pStyle w:val="StyleHeading1TextLeft0Hanging025"/>
        <w:ind w:left="0" w:firstLine="0"/>
        <w:rPr>
          <w:color w:val="000000" w:themeColor="text1"/>
          <w:sz w:val="26"/>
          <w:szCs w:val="26"/>
        </w:rPr>
      </w:pPr>
    </w:p>
    <w:p w14:paraId="3CDD7036" w14:textId="77777777" w:rsidR="005170DC" w:rsidRPr="00D1084B" w:rsidRDefault="005170DC" w:rsidP="005170DC">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Substation Unplanned Maintenance Replacements (PIN: 3363)</w:t>
      </w:r>
    </w:p>
    <w:p w14:paraId="1626ABF3" w14:textId="77777777" w:rsidR="005170DC" w:rsidRPr="00D1084B" w:rsidRDefault="005170DC"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Substation Unplanned Capital Maintenance captures the labor, equipment, and other material costs to remove and replace assets not identified in other replacement programs, on a reactive basis. Activities are predominantly like-for-like replacements and maintenance. Reactive equipment replacements must be completed in a timely manner because substation equipment failures may lead to prolonged outages, unsafe operating conditions, or more costly reactive solutions. Examples of such work include unplanned replacement of failed PT's, </w:t>
      </w:r>
      <w:proofErr w:type="gramStart"/>
      <w:r w:rsidRPr="00D1084B">
        <w:rPr>
          <w:rFonts w:ascii="Times New Roman" w:eastAsia="Times New Roman" w:hAnsi="Times New Roman" w:cs="Times New Roman"/>
          <w:color w:val="000000" w:themeColor="text1"/>
          <w:sz w:val="26"/>
          <w:szCs w:val="26"/>
        </w:rPr>
        <w:t>CT's</w:t>
      </w:r>
      <w:proofErr w:type="gramEnd"/>
      <w:r w:rsidRPr="00D1084B">
        <w:rPr>
          <w:rFonts w:ascii="Times New Roman" w:eastAsia="Times New Roman" w:hAnsi="Times New Roman" w:cs="Times New Roman"/>
          <w:color w:val="000000" w:themeColor="text1"/>
          <w:sz w:val="26"/>
          <w:szCs w:val="26"/>
        </w:rPr>
        <w:t>, as well as Circuit Breakers, B-Banks and Disconnects.</w:t>
      </w:r>
    </w:p>
    <w:p w14:paraId="649F4511" w14:textId="7BD89507" w:rsidR="005170DC" w:rsidRPr="00D1084B" w:rsidRDefault="005170DC" w:rsidP="005170DC">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$1</w:t>
      </w:r>
      <w:r>
        <w:rPr>
          <w:rFonts w:ascii="Times New Roman" w:eastAsia="Times New Roman" w:hAnsi="Times New Roman" w:cs="Times New Roman"/>
          <w:color w:val="000000" w:themeColor="text1"/>
          <w:sz w:val="26"/>
          <w:szCs w:val="26"/>
        </w:rPr>
        <w:t>3.191</w:t>
      </w:r>
      <w:r w:rsidRPr="00D1084B">
        <w:rPr>
          <w:rFonts w:ascii="Times New Roman" w:eastAsia="Times New Roman" w:hAnsi="Times New Roman" w:cs="Times New Roman"/>
          <w:color w:val="000000" w:themeColor="text1"/>
          <w:sz w:val="26"/>
          <w:szCs w:val="26"/>
        </w:rPr>
        <w:t xml:space="preserve"> million.</w:t>
      </w:r>
    </w:p>
    <w:p w14:paraId="34653301" w14:textId="77777777" w:rsidR="0027654C" w:rsidRDefault="0027654C" w:rsidP="00EE1FB9">
      <w:pPr>
        <w:pStyle w:val="StyleHeading1TextLeft0Hanging025"/>
        <w:ind w:left="0" w:firstLine="0"/>
        <w:rPr>
          <w:color w:val="000000" w:themeColor="text1"/>
          <w:sz w:val="26"/>
          <w:szCs w:val="26"/>
        </w:rPr>
      </w:pPr>
    </w:p>
    <w:p w14:paraId="5B8F7AD6" w14:textId="77777777" w:rsidR="0000222A" w:rsidRPr="00D1084B" w:rsidRDefault="0000222A" w:rsidP="0000222A">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Deteriorated Pole Replacement &amp; Restoration (PIN 3364)</w:t>
      </w:r>
    </w:p>
    <w:p w14:paraId="42ADD909" w14:textId="28FBC71E" w:rsidR="000A690B" w:rsidRDefault="00DF23E5"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Transmission </w:t>
      </w:r>
      <w:r w:rsidR="0056003A">
        <w:rPr>
          <w:rFonts w:ascii="Times New Roman" w:eastAsia="Times New Roman" w:hAnsi="Times New Roman" w:cs="Times New Roman"/>
          <w:color w:val="000000" w:themeColor="text1"/>
          <w:sz w:val="26"/>
          <w:szCs w:val="26"/>
        </w:rPr>
        <w:t>d</w:t>
      </w:r>
      <w:r w:rsidR="004E1547">
        <w:rPr>
          <w:rFonts w:ascii="Times New Roman" w:eastAsia="Times New Roman" w:hAnsi="Times New Roman" w:cs="Times New Roman"/>
          <w:color w:val="000000" w:themeColor="text1"/>
          <w:sz w:val="26"/>
          <w:szCs w:val="26"/>
        </w:rPr>
        <w:t xml:space="preserve">eteriorated pole </w:t>
      </w:r>
      <w:r w:rsidR="0056003A">
        <w:rPr>
          <w:rFonts w:ascii="Times New Roman" w:eastAsia="Times New Roman" w:hAnsi="Times New Roman" w:cs="Times New Roman"/>
          <w:color w:val="000000" w:themeColor="text1"/>
          <w:sz w:val="26"/>
          <w:szCs w:val="26"/>
        </w:rPr>
        <w:t>replacements are identified through Intrusive Pole Inspe</w:t>
      </w:r>
      <w:r w:rsidR="00514F82">
        <w:rPr>
          <w:rFonts w:ascii="Times New Roman" w:eastAsia="Times New Roman" w:hAnsi="Times New Roman" w:cs="Times New Roman"/>
          <w:color w:val="000000" w:themeColor="text1"/>
          <w:sz w:val="26"/>
          <w:szCs w:val="26"/>
        </w:rPr>
        <w:t>c</w:t>
      </w:r>
      <w:r w:rsidR="0056003A">
        <w:rPr>
          <w:rFonts w:ascii="Times New Roman" w:eastAsia="Times New Roman" w:hAnsi="Times New Roman" w:cs="Times New Roman"/>
          <w:color w:val="000000" w:themeColor="text1"/>
          <w:sz w:val="26"/>
          <w:szCs w:val="26"/>
        </w:rPr>
        <w:t>tions</w:t>
      </w:r>
      <w:r w:rsidR="00CB48FE">
        <w:rPr>
          <w:rFonts w:ascii="Times New Roman" w:eastAsia="Times New Roman" w:hAnsi="Times New Roman" w:cs="Times New Roman"/>
          <w:color w:val="000000" w:themeColor="text1"/>
          <w:sz w:val="26"/>
          <w:szCs w:val="26"/>
        </w:rPr>
        <w:t xml:space="preserve"> (IPI)</w:t>
      </w:r>
      <w:r w:rsidR="0056003A">
        <w:rPr>
          <w:rFonts w:ascii="Times New Roman" w:eastAsia="Times New Roman" w:hAnsi="Times New Roman" w:cs="Times New Roman"/>
          <w:color w:val="000000" w:themeColor="text1"/>
          <w:sz w:val="26"/>
          <w:szCs w:val="26"/>
        </w:rPr>
        <w:t xml:space="preserve">, </w:t>
      </w:r>
      <w:r w:rsidR="00562741">
        <w:rPr>
          <w:rFonts w:ascii="Times New Roman" w:eastAsia="Times New Roman" w:hAnsi="Times New Roman" w:cs="Times New Roman"/>
          <w:color w:val="000000" w:themeColor="text1"/>
          <w:sz w:val="26"/>
          <w:szCs w:val="26"/>
        </w:rPr>
        <w:t>n</w:t>
      </w:r>
      <w:r w:rsidR="009030B5">
        <w:rPr>
          <w:rFonts w:ascii="Times New Roman" w:eastAsia="Times New Roman" w:hAnsi="Times New Roman" w:cs="Times New Roman"/>
          <w:color w:val="000000" w:themeColor="text1"/>
          <w:sz w:val="26"/>
          <w:szCs w:val="26"/>
        </w:rPr>
        <w:t>on-</w:t>
      </w:r>
      <w:r w:rsidR="00562741">
        <w:rPr>
          <w:rFonts w:ascii="Times New Roman" w:eastAsia="Times New Roman" w:hAnsi="Times New Roman" w:cs="Times New Roman"/>
          <w:color w:val="000000" w:themeColor="text1"/>
          <w:sz w:val="26"/>
          <w:szCs w:val="26"/>
        </w:rPr>
        <w:t>p</w:t>
      </w:r>
      <w:r w:rsidR="009030B5">
        <w:rPr>
          <w:rFonts w:ascii="Times New Roman" w:eastAsia="Times New Roman" w:hAnsi="Times New Roman" w:cs="Times New Roman"/>
          <w:color w:val="000000" w:themeColor="text1"/>
          <w:sz w:val="26"/>
          <w:szCs w:val="26"/>
        </w:rPr>
        <w:t>rogrammatic activities</w:t>
      </w:r>
      <w:r w:rsidR="00514F82">
        <w:rPr>
          <w:rFonts w:ascii="Times New Roman" w:eastAsia="Times New Roman" w:hAnsi="Times New Roman" w:cs="Times New Roman"/>
          <w:color w:val="000000" w:themeColor="text1"/>
          <w:sz w:val="26"/>
          <w:szCs w:val="26"/>
        </w:rPr>
        <w:t>, an</w:t>
      </w:r>
      <w:r w:rsidR="00554AD8">
        <w:rPr>
          <w:rFonts w:ascii="Times New Roman" w:eastAsia="Times New Roman" w:hAnsi="Times New Roman" w:cs="Times New Roman"/>
          <w:color w:val="000000" w:themeColor="text1"/>
          <w:sz w:val="26"/>
          <w:szCs w:val="26"/>
        </w:rPr>
        <w:t>d by pole loading calculations (PLC) pe</w:t>
      </w:r>
      <w:r w:rsidR="004E140F">
        <w:rPr>
          <w:rFonts w:ascii="Times New Roman" w:eastAsia="Times New Roman" w:hAnsi="Times New Roman" w:cs="Times New Roman"/>
          <w:color w:val="000000" w:themeColor="text1"/>
          <w:sz w:val="26"/>
          <w:szCs w:val="26"/>
        </w:rPr>
        <w:t>rformed by planners during the normal course of work</w:t>
      </w:r>
      <w:r w:rsidR="00514F82">
        <w:rPr>
          <w:rFonts w:ascii="Times New Roman" w:eastAsia="Times New Roman" w:hAnsi="Times New Roman" w:cs="Times New Roman"/>
          <w:color w:val="000000" w:themeColor="text1"/>
          <w:sz w:val="26"/>
          <w:szCs w:val="26"/>
        </w:rPr>
        <w:t xml:space="preserve">. </w:t>
      </w:r>
      <w:r w:rsidR="00B92BA0">
        <w:rPr>
          <w:rFonts w:ascii="Times New Roman" w:eastAsia="Times New Roman" w:hAnsi="Times New Roman" w:cs="Times New Roman"/>
          <w:color w:val="000000" w:themeColor="text1"/>
          <w:sz w:val="26"/>
          <w:szCs w:val="26"/>
        </w:rPr>
        <w:t xml:space="preserve">For replacements driven by IPI, the </w:t>
      </w:r>
      <w:r w:rsidR="00B92BA0">
        <w:rPr>
          <w:rFonts w:ascii="Times New Roman" w:eastAsia="Times New Roman" w:hAnsi="Times New Roman" w:cs="Times New Roman"/>
          <w:color w:val="000000" w:themeColor="text1"/>
          <w:sz w:val="26"/>
          <w:szCs w:val="26"/>
        </w:rPr>
        <w:lastRenderedPageBreak/>
        <w:t xml:space="preserve">poles identified as needing replacement are prioritized based on the extent of deterioration and are </w:t>
      </w:r>
      <w:r w:rsidR="0097036E">
        <w:rPr>
          <w:rFonts w:ascii="Times New Roman" w:eastAsia="Times New Roman" w:hAnsi="Times New Roman" w:cs="Times New Roman"/>
          <w:color w:val="000000" w:themeColor="text1"/>
          <w:sz w:val="26"/>
          <w:szCs w:val="26"/>
        </w:rPr>
        <w:t>assigned a Remediation Action Code (RAC)</w:t>
      </w:r>
      <w:r w:rsidR="0071044D">
        <w:rPr>
          <w:rFonts w:ascii="Times New Roman" w:eastAsia="Times New Roman" w:hAnsi="Times New Roman" w:cs="Times New Roman"/>
          <w:color w:val="000000" w:themeColor="text1"/>
          <w:sz w:val="26"/>
          <w:szCs w:val="26"/>
        </w:rPr>
        <w:t>, which specifies compliance timeframes</w:t>
      </w:r>
      <w:r w:rsidR="0097036E">
        <w:rPr>
          <w:rFonts w:ascii="Times New Roman" w:eastAsia="Times New Roman" w:hAnsi="Times New Roman" w:cs="Times New Roman"/>
          <w:color w:val="000000" w:themeColor="text1"/>
          <w:sz w:val="26"/>
          <w:szCs w:val="26"/>
        </w:rPr>
        <w:t>.</w:t>
      </w:r>
      <w:r w:rsidR="004B6CEC">
        <w:rPr>
          <w:rFonts w:ascii="Times New Roman" w:eastAsia="Times New Roman" w:hAnsi="Times New Roman" w:cs="Times New Roman"/>
          <w:color w:val="000000" w:themeColor="text1"/>
          <w:sz w:val="26"/>
          <w:szCs w:val="26"/>
        </w:rPr>
        <w:t xml:space="preserve"> Pole replacements </w:t>
      </w:r>
      <w:r w:rsidR="00562741">
        <w:rPr>
          <w:rFonts w:ascii="Times New Roman" w:eastAsia="Times New Roman" w:hAnsi="Times New Roman" w:cs="Times New Roman"/>
          <w:color w:val="000000" w:themeColor="text1"/>
          <w:sz w:val="26"/>
          <w:szCs w:val="26"/>
        </w:rPr>
        <w:t xml:space="preserve">identified through non-programmatic activities </w:t>
      </w:r>
      <w:r w:rsidR="00114E35">
        <w:rPr>
          <w:rFonts w:ascii="Times New Roman" w:eastAsia="Times New Roman" w:hAnsi="Times New Roman" w:cs="Times New Roman"/>
          <w:color w:val="000000" w:themeColor="text1"/>
          <w:sz w:val="26"/>
          <w:szCs w:val="26"/>
        </w:rPr>
        <w:t xml:space="preserve">may be submitted to the Deteriorated Pole Program for replacement based on their external condition. If these poles meet the criteria for external decay outlined in the program standard, they are prioritized </w:t>
      </w:r>
      <w:r w:rsidR="00604914">
        <w:rPr>
          <w:rFonts w:ascii="Times New Roman" w:eastAsia="Times New Roman" w:hAnsi="Times New Roman" w:cs="Times New Roman"/>
          <w:color w:val="000000" w:themeColor="text1"/>
          <w:sz w:val="26"/>
          <w:szCs w:val="26"/>
        </w:rPr>
        <w:t>according to the standard for replacement in the Dete</w:t>
      </w:r>
      <w:r w:rsidR="00F15635">
        <w:rPr>
          <w:rFonts w:ascii="Times New Roman" w:eastAsia="Times New Roman" w:hAnsi="Times New Roman" w:cs="Times New Roman"/>
          <w:color w:val="000000" w:themeColor="text1"/>
          <w:sz w:val="26"/>
          <w:szCs w:val="26"/>
        </w:rPr>
        <w:t xml:space="preserve">riorated Pole Program. </w:t>
      </w:r>
      <w:proofErr w:type="gramStart"/>
      <w:r w:rsidR="00F61CFD">
        <w:rPr>
          <w:rFonts w:ascii="Times New Roman" w:eastAsia="Times New Roman" w:hAnsi="Times New Roman" w:cs="Times New Roman"/>
          <w:color w:val="000000" w:themeColor="text1"/>
          <w:sz w:val="26"/>
          <w:szCs w:val="26"/>
        </w:rPr>
        <w:t>PLC’s</w:t>
      </w:r>
      <w:proofErr w:type="gramEnd"/>
      <w:r w:rsidR="00F61CFD">
        <w:rPr>
          <w:rFonts w:ascii="Times New Roman" w:eastAsia="Times New Roman" w:hAnsi="Times New Roman" w:cs="Times New Roman"/>
          <w:color w:val="000000" w:themeColor="text1"/>
          <w:sz w:val="26"/>
          <w:szCs w:val="26"/>
        </w:rPr>
        <w:t xml:space="preserve"> </w:t>
      </w:r>
      <w:r w:rsidR="00871519">
        <w:rPr>
          <w:rFonts w:ascii="Times New Roman" w:eastAsia="Times New Roman" w:hAnsi="Times New Roman" w:cs="Times New Roman"/>
          <w:color w:val="000000" w:themeColor="text1"/>
          <w:sz w:val="26"/>
          <w:szCs w:val="26"/>
        </w:rPr>
        <w:t xml:space="preserve">performed in the course of design work may </w:t>
      </w:r>
      <w:r w:rsidR="00EB40C3">
        <w:rPr>
          <w:rFonts w:ascii="Times New Roman" w:eastAsia="Times New Roman" w:hAnsi="Times New Roman" w:cs="Times New Roman"/>
          <w:color w:val="000000" w:themeColor="text1"/>
          <w:sz w:val="26"/>
          <w:szCs w:val="26"/>
        </w:rPr>
        <w:t xml:space="preserve">identify poles that do not meet GO 95 requirements. Planners perform pole loading calculations as part </w:t>
      </w:r>
      <w:r w:rsidR="003A2667">
        <w:rPr>
          <w:rFonts w:ascii="Times New Roman" w:eastAsia="Times New Roman" w:hAnsi="Times New Roman" w:cs="Times New Roman"/>
          <w:color w:val="000000" w:themeColor="text1"/>
          <w:sz w:val="26"/>
          <w:szCs w:val="26"/>
        </w:rPr>
        <w:t>of day-to-day work when they plan to add new equipment to the pole</w:t>
      </w:r>
      <w:r w:rsidR="00AF422D">
        <w:rPr>
          <w:rFonts w:ascii="Times New Roman" w:eastAsia="Times New Roman" w:hAnsi="Times New Roman" w:cs="Times New Roman"/>
          <w:color w:val="000000" w:themeColor="text1"/>
          <w:sz w:val="26"/>
          <w:szCs w:val="26"/>
        </w:rPr>
        <w:t>, such as a transformer, capacitor, bank,</w:t>
      </w:r>
      <w:r w:rsidR="0026255C">
        <w:rPr>
          <w:rFonts w:ascii="Times New Roman" w:eastAsia="Times New Roman" w:hAnsi="Times New Roman" w:cs="Times New Roman"/>
          <w:color w:val="000000" w:themeColor="text1"/>
          <w:sz w:val="26"/>
          <w:szCs w:val="26"/>
        </w:rPr>
        <w:t xml:space="preserve"> </w:t>
      </w:r>
      <w:r w:rsidR="00AF422D">
        <w:rPr>
          <w:rFonts w:ascii="Times New Roman" w:eastAsia="Times New Roman" w:hAnsi="Times New Roman" w:cs="Times New Roman"/>
          <w:color w:val="000000" w:themeColor="text1"/>
          <w:sz w:val="26"/>
          <w:szCs w:val="26"/>
        </w:rPr>
        <w:t>conductor wire</w:t>
      </w:r>
      <w:r w:rsidR="0026255C">
        <w:rPr>
          <w:rFonts w:ascii="Times New Roman" w:eastAsia="Times New Roman" w:hAnsi="Times New Roman" w:cs="Times New Roman"/>
          <w:color w:val="000000" w:themeColor="text1"/>
          <w:sz w:val="26"/>
          <w:szCs w:val="26"/>
        </w:rPr>
        <w:t>, etc</w:t>
      </w:r>
      <w:r w:rsidR="00AF422D">
        <w:rPr>
          <w:rFonts w:ascii="Times New Roman" w:eastAsia="Times New Roman" w:hAnsi="Times New Roman" w:cs="Times New Roman"/>
          <w:color w:val="000000" w:themeColor="text1"/>
          <w:sz w:val="26"/>
          <w:szCs w:val="26"/>
        </w:rPr>
        <w:t xml:space="preserve">. </w:t>
      </w:r>
      <w:r w:rsidR="00F37871">
        <w:rPr>
          <w:rFonts w:ascii="Times New Roman" w:eastAsia="Times New Roman" w:hAnsi="Times New Roman" w:cs="Times New Roman"/>
          <w:color w:val="000000" w:themeColor="text1"/>
          <w:sz w:val="26"/>
          <w:szCs w:val="26"/>
        </w:rPr>
        <w:t xml:space="preserve">The planner may perform a pole loading calculation on the pole “as-is” in its current state, assuming only the currently attached </w:t>
      </w:r>
      <w:r w:rsidR="005C5D89">
        <w:rPr>
          <w:rFonts w:ascii="Times New Roman" w:eastAsia="Times New Roman" w:hAnsi="Times New Roman" w:cs="Times New Roman"/>
          <w:color w:val="000000" w:themeColor="text1"/>
          <w:sz w:val="26"/>
          <w:szCs w:val="26"/>
        </w:rPr>
        <w:t xml:space="preserve">equipment is in place. If the pole does not satisfy compliance requirements “as-is,” </w:t>
      </w:r>
      <w:r w:rsidR="00116102">
        <w:rPr>
          <w:rFonts w:ascii="Times New Roman" w:eastAsia="Times New Roman" w:hAnsi="Times New Roman" w:cs="Times New Roman"/>
          <w:color w:val="000000" w:themeColor="text1"/>
          <w:sz w:val="26"/>
          <w:szCs w:val="26"/>
        </w:rPr>
        <w:t>the cost of its replacement is included in the Deteriorated Pole Program.</w:t>
      </w:r>
    </w:p>
    <w:p w14:paraId="2A685B8E" w14:textId="220EB572" w:rsidR="0000222A" w:rsidRPr="00D1084B" w:rsidRDefault="0000222A"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Regardless of the way in which the pole is identified, the process for replacement is generally the same. The steps to design and construct a pole replacement are described here. </w:t>
      </w:r>
      <w:proofErr w:type="gramStart"/>
      <w:r w:rsidRPr="00D1084B">
        <w:rPr>
          <w:rFonts w:ascii="Times New Roman" w:eastAsia="Times New Roman" w:hAnsi="Times New Roman" w:cs="Times New Roman"/>
          <w:color w:val="000000" w:themeColor="text1"/>
          <w:sz w:val="26"/>
          <w:szCs w:val="26"/>
        </w:rPr>
        <w:t>The vast majority of</w:t>
      </w:r>
      <w:proofErr w:type="gramEnd"/>
      <w:r w:rsidRPr="00D1084B">
        <w:rPr>
          <w:rFonts w:ascii="Times New Roman" w:eastAsia="Times New Roman" w:hAnsi="Times New Roman" w:cs="Times New Roman"/>
          <w:color w:val="000000" w:themeColor="text1"/>
          <w:sz w:val="26"/>
          <w:szCs w:val="26"/>
        </w:rPr>
        <w:t xml:space="preserve"> pole replacements are designed by contract planners. Prior to replacing a pole, SCE must perform a land rights check to ensure it has the right to install a pole or a down guy in the designated location. Environmental clearances must be obtained and any special execution requirements </w:t>
      </w:r>
      <w:proofErr w:type="gramStart"/>
      <w:r w:rsidRPr="00D1084B">
        <w:rPr>
          <w:rFonts w:ascii="Times New Roman" w:eastAsia="Times New Roman" w:hAnsi="Times New Roman" w:cs="Times New Roman"/>
          <w:color w:val="000000" w:themeColor="text1"/>
          <w:sz w:val="26"/>
          <w:szCs w:val="26"/>
        </w:rPr>
        <w:t>in order to</w:t>
      </w:r>
      <w:proofErr w:type="gramEnd"/>
      <w:r w:rsidRPr="00D1084B">
        <w:rPr>
          <w:rFonts w:ascii="Times New Roman" w:eastAsia="Times New Roman" w:hAnsi="Times New Roman" w:cs="Times New Roman"/>
          <w:color w:val="000000" w:themeColor="text1"/>
          <w:sz w:val="26"/>
          <w:szCs w:val="26"/>
        </w:rPr>
        <w:t xml:space="preserve"> protect the environment must be identified and fulfilled. If the pole is jointly owned, SCE coordinates with the joint owners on the design and construction. Permits must be obtained from various agencies such as city or county governments, railroads, or </w:t>
      </w:r>
      <w:r w:rsidR="009A6F66" w:rsidRPr="00D1084B">
        <w:rPr>
          <w:rFonts w:ascii="Times New Roman" w:eastAsia="Times New Roman" w:hAnsi="Times New Roman" w:cs="Times New Roman"/>
          <w:color w:val="000000" w:themeColor="text1"/>
          <w:sz w:val="26"/>
          <w:szCs w:val="26"/>
        </w:rPr>
        <w:t>Caltrans</w:t>
      </w:r>
      <w:r w:rsidRPr="00D1084B">
        <w:rPr>
          <w:rFonts w:ascii="Times New Roman" w:eastAsia="Times New Roman" w:hAnsi="Times New Roman" w:cs="Times New Roman"/>
          <w:color w:val="000000" w:themeColor="text1"/>
          <w:sz w:val="26"/>
          <w:szCs w:val="26"/>
        </w:rPr>
        <w:t xml:space="preserve">. </w:t>
      </w:r>
    </w:p>
    <w:p w14:paraId="008D1B13" w14:textId="4F4BE9CE" w:rsidR="0000222A" w:rsidRPr="00D1084B" w:rsidRDefault="0000222A"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When a pole supports both Transmission and Distribution equipment, SCE refers to it as a “combo” pole. When a combo pole is replaced, the cost to set the new pole and transfer the Transmission equipment is charged to Transmission. The cost associated with the Distribution equipment is charged to Distribution. This Distribution work is called “Underbuild”. The Underbuild work is in a separate work order from the Transmission pole replacement to make sure that no costs associated with Distribution work is charged to Transmission work. </w:t>
      </w:r>
    </w:p>
    <w:p w14:paraId="40545C21" w14:textId="30E4005C" w:rsidR="0000222A" w:rsidRPr="00D1084B" w:rsidRDefault="0000222A"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The estimated ISO-related direct capital expenditures that are projected to go into rate base during this period are $1</w:t>
      </w:r>
      <w:r w:rsidR="00667480">
        <w:rPr>
          <w:rFonts w:ascii="Times New Roman" w:eastAsia="Times New Roman" w:hAnsi="Times New Roman" w:cs="Times New Roman"/>
          <w:color w:val="000000" w:themeColor="text1"/>
          <w:sz w:val="26"/>
          <w:szCs w:val="26"/>
        </w:rPr>
        <w:t>5.992</w:t>
      </w:r>
      <w:r w:rsidRPr="00D1084B">
        <w:rPr>
          <w:rFonts w:ascii="Times New Roman" w:eastAsia="Times New Roman" w:hAnsi="Times New Roman" w:cs="Times New Roman"/>
          <w:color w:val="000000" w:themeColor="text1"/>
          <w:sz w:val="26"/>
          <w:szCs w:val="26"/>
        </w:rPr>
        <w:t xml:space="preserve"> million.</w:t>
      </w:r>
    </w:p>
    <w:p w14:paraId="44A75F07" w14:textId="77777777" w:rsidR="0027654C" w:rsidRDefault="0027654C" w:rsidP="00EE1FB9">
      <w:pPr>
        <w:pStyle w:val="StyleHeading1TextLeft0Hanging025"/>
        <w:ind w:left="0" w:firstLine="0"/>
        <w:rPr>
          <w:color w:val="000000" w:themeColor="text1"/>
          <w:sz w:val="26"/>
          <w:szCs w:val="26"/>
        </w:rPr>
      </w:pPr>
    </w:p>
    <w:p w14:paraId="3AA5AEE6" w14:textId="77777777" w:rsidR="008E2565" w:rsidRPr="00D1084B" w:rsidRDefault="008E2565" w:rsidP="008E2565">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Grid-Based Maintenance (PIN: 3364)</w:t>
      </w:r>
    </w:p>
    <w:p w14:paraId="013390D7" w14:textId="098A301C" w:rsidR="008E2565" w:rsidRPr="00D1084B" w:rsidRDefault="008E2565"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 has a robust transmission inspection and maintenance program wherein circuits and equipment are inspected on a programmatic basis. Pursuant to CPUC requirements for inspection and maintenance programs, SCE inspects right of ways, conductors, structures, and hardware components for “break/fix” items. Based on these inspections, capital replacements are then identified. Capital replacements may include pole replacement, tower replacement, switch replacement, overhead and underground conduct</w:t>
      </w:r>
      <w:r w:rsidR="0039755A">
        <w:rPr>
          <w:rFonts w:ascii="Times New Roman" w:eastAsia="Times New Roman" w:hAnsi="Times New Roman" w:cs="Times New Roman"/>
          <w:color w:val="000000" w:themeColor="text1"/>
          <w:sz w:val="26"/>
          <w:szCs w:val="26"/>
        </w:rPr>
        <w:t>or</w:t>
      </w:r>
      <w:r w:rsidRPr="00D1084B">
        <w:rPr>
          <w:rFonts w:ascii="Times New Roman" w:eastAsia="Times New Roman" w:hAnsi="Times New Roman" w:cs="Times New Roman"/>
          <w:color w:val="000000" w:themeColor="text1"/>
          <w:sz w:val="26"/>
          <w:szCs w:val="26"/>
        </w:rPr>
        <w:t xml:space="preserve"> replacement, underground structures/conduit replacement and pothead/arrestor replacement. </w:t>
      </w:r>
    </w:p>
    <w:p w14:paraId="32482F12" w14:textId="77777777" w:rsidR="008E2565" w:rsidRPr="00D1084B" w:rsidRDefault="008E2565"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Within this program, SCE workers review the identified equipment issue and classify the resulting work based on a prioritization scale: P1, P2 and P3. The first level of prioritization (P1) requires immediate remediation within 72 hours. The second level (P2) has two classifications: (1) Tier 3: remediation within six months and (2) Tier 2: remediation in 12 months. Additionally, within non-high fire risk areas with a (P2) classification, there can be a 12-month to three-year time frame depending on observations made by field personnel. The third level of prioritization (P3) requires remediation within five years from the date the issue is identified.</w:t>
      </w:r>
    </w:p>
    <w:p w14:paraId="16428A67" w14:textId="7ED2B5B0" w:rsidR="008E2565" w:rsidRPr="00D1084B" w:rsidRDefault="008E2565"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D16374">
        <w:rPr>
          <w:rFonts w:ascii="Times New Roman" w:eastAsia="Times New Roman" w:hAnsi="Times New Roman" w:cs="Times New Roman"/>
          <w:color w:val="000000" w:themeColor="text1"/>
          <w:sz w:val="26"/>
          <w:szCs w:val="26"/>
        </w:rPr>
        <w:t>5.489</w:t>
      </w:r>
      <w:r w:rsidRPr="00D1084B">
        <w:rPr>
          <w:rFonts w:ascii="Times New Roman" w:eastAsia="Times New Roman" w:hAnsi="Times New Roman" w:cs="Times New Roman"/>
          <w:color w:val="000000" w:themeColor="text1"/>
          <w:sz w:val="26"/>
          <w:szCs w:val="26"/>
        </w:rPr>
        <w:t xml:space="preserve"> million.</w:t>
      </w:r>
    </w:p>
    <w:p w14:paraId="58432CFF" w14:textId="77777777" w:rsidR="0027654C" w:rsidRDefault="0027654C" w:rsidP="00EE1FB9">
      <w:pPr>
        <w:pStyle w:val="StyleHeading1TextLeft0Hanging025"/>
        <w:ind w:left="0" w:firstLine="0"/>
        <w:rPr>
          <w:color w:val="000000" w:themeColor="text1"/>
          <w:sz w:val="26"/>
          <w:szCs w:val="26"/>
        </w:rPr>
      </w:pPr>
    </w:p>
    <w:p w14:paraId="7D72DCA7" w14:textId="77777777" w:rsidR="006D27D2" w:rsidRPr="00D1084B" w:rsidRDefault="006D27D2" w:rsidP="006D27D2">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Small Civil (PIN: 3364)</w:t>
      </w:r>
    </w:p>
    <w:p w14:paraId="3A87FF89" w14:textId="26C4274D" w:rsidR="006D27D2" w:rsidRPr="00D1084B" w:rsidRDefault="006D27D2" w:rsidP="006B0137">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Small Civil Capital Program (SCCP) is the deployment of non-electrical capital assets that support Transmission facilities. The program </w:t>
      </w:r>
      <w:r w:rsidR="00BF7E6E">
        <w:rPr>
          <w:rFonts w:ascii="Times New Roman" w:eastAsia="Times New Roman" w:hAnsi="Times New Roman" w:cs="Times New Roman"/>
          <w:color w:val="000000" w:themeColor="text1"/>
          <w:sz w:val="26"/>
          <w:szCs w:val="26"/>
        </w:rPr>
        <w:t xml:space="preserve">is </w:t>
      </w:r>
      <w:r w:rsidRPr="00D1084B">
        <w:rPr>
          <w:rFonts w:ascii="Times New Roman" w:eastAsia="Times New Roman" w:hAnsi="Times New Roman" w:cs="Times New Roman"/>
          <w:color w:val="000000" w:themeColor="text1"/>
          <w:sz w:val="26"/>
          <w:szCs w:val="26"/>
        </w:rPr>
        <w:t>comprise</w:t>
      </w:r>
      <w:r w:rsidR="00BF7E6E">
        <w:rPr>
          <w:rFonts w:ascii="Times New Roman" w:eastAsia="Times New Roman" w:hAnsi="Times New Roman" w:cs="Times New Roman"/>
          <w:color w:val="000000" w:themeColor="text1"/>
          <w:sz w:val="26"/>
          <w:szCs w:val="26"/>
        </w:rPr>
        <w:t>d</w:t>
      </w:r>
      <w:r w:rsidRPr="00D1084B">
        <w:rPr>
          <w:rFonts w:ascii="Times New Roman" w:eastAsia="Times New Roman" w:hAnsi="Times New Roman" w:cs="Times New Roman"/>
          <w:color w:val="000000" w:themeColor="text1"/>
          <w:sz w:val="26"/>
          <w:szCs w:val="26"/>
        </w:rPr>
        <w:t xml:space="preserve"> of projects that are either new construction or improvement of existing field conditions. Activities under the SCCP include:</w:t>
      </w:r>
    </w:p>
    <w:p w14:paraId="0E62F0D5" w14:textId="77777777" w:rsidR="006D27D2" w:rsidRPr="00D1084B" w:rsidRDefault="006D27D2" w:rsidP="006D27D2">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Installation/Improvement of new and existing Access Roads</w:t>
      </w:r>
    </w:p>
    <w:p w14:paraId="04BDC87D" w14:textId="77777777" w:rsidR="006D27D2" w:rsidRPr="00D1084B" w:rsidRDefault="006D27D2" w:rsidP="006D27D2">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 Installation/Improvement of Wet Crossings (Bridges) and Drainage </w:t>
      </w:r>
    </w:p>
    <w:p w14:paraId="7FC12438" w14:textId="77777777" w:rsidR="006D27D2" w:rsidRPr="00D1084B" w:rsidRDefault="006D27D2" w:rsidP="006D27D2">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Implementation/Improvement of Laydown/Material Yards</w:t>
      </w:r>
    </w:p>
    <w:p w14:paraId="2F977D1E" w14:textId="77777777" w:rsidR="006D27D2" w:rsidRPr="00D1084B" w:rsidRDefault="006D27D2" w:rsidP="006D27D2">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Implementation/Replacement of Retaining Walls</w:t>
      </w:r>
    </w:p>
    <w:p w14:paraId="61A7BCA4" w14:textId="5EEA6CC0" w:rsidR="006D27D2" w:rsidRPr="00D1084B" w:rsidRDefault="006D27D2" w:rsidP="006D27D2">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Pr>
          <w:rFonts w:ascii="Times New Roman" w:eastAsia="Times New Roman" w:hAnsi="Times New Roman" w:cs="Times New Roman"/>
          <w:color w:val="000000" w:themeColor="text1"/>
          <w:sz w:val="26"/>
          <w:szCs w:val="26"/>
        </w:rPr>
        <w:t>8.024</w:t>
      </w:r>
      <w:r w:rsidRPr="00D1084B">
        <w:rPr>
          <w:rFonts w:ascii="Times New Roman" w:eastAsia="Times New Roman" w:hAnsi="Times New Roman" w:cs="Times New Roman"/>
          <w:color w:val="000000" w:themeColor="text1"/>
          <w:sz w:val="26"/>
          <w:szCs w:val="26"/>
        </w:rPr>
        <w:t xml:space="preserve"> million.</w:t>
      </w:r>
    </w:p>
    <w:p w14:paraId="284BC289" w14:textId="77777777" w:rsidR="006D27D2" w:rsidRDefault="006D27D2" w:rsidP="00EE1FB9">
      <w:pPr>
        <w:pStyle w:val="StyleHeading1TextLeft0Hanging025"/>
        <w:ind w:left="0" w:firstLine="0"/>
        <w:rPr>
          <w:color w:val="000000" w:themeColor="text1"/>
          <w:sz w:val="26"/>
          <w:szCs w:val="26"/>
        </w:rPr>
      </w:pPr>
    </w:p>
    <w:p w14:paraId="1CDF9325" w14:textId="77777777" w:rsidR="00BF7203" w:rsidRPr="00D1084B" w:rsidRDefault="00BF7203" w:rsidP="00BF7203">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Tower Corrosion (PIN: 3364)</w:t>
      </w:r>
    </w:p>
    <w:p w14:paraId="481CA82A" w14:textId="77777777" w:rsidR="00BF7203" w:rsidRPr="00D1084B" w:rsidRDefault="00BF7203"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By 2020, more than 90% of SCE’s transmission towers will be at least thirty years old. Thirty years is the average age at which the first signs of tower corrosion, from minor to severe, generally begin to appear. If not identified and addressed, steel loss due to corrosion could lead to structure failure. Based on the severity of corrosion and the </w:t>
      </w:r>
      <w:proofErr w:type="gramStart"/>
      <w:r w:rsidRPr="00D1084B">
        <w:rPr>
          <w:rFonts w:ascii="Times New Roman" w:eastAsia="Times New Roman" w:hAnsi="Times New Roman" w:cs="Times New Roman"/>
          <w:color w:val="000000" w:themeColor="text1"/>
          <w:sz w:val="26"/>
          <w:szCs w:val="26"/>
        </w:rPr>
        <w:t>particular tower</w:t>
      </w:r>
      <w:proofErr w:type="gramEnd"/>
      <w:r w:rsidRPr="00D1084B">
        <w:rPr>
          <w:rFonts w:ascii="Times New Roman" w:eastAsia="Times New Roman" w:hAnsi="Times New Roman" w:cs="Times New Roman"/>
          <w:color w:val="000000" w:themeColor="text1"/>
          <w:sz w:val="26"/>
          <w:szCs w:val="26"/>
        </w:rPr>
        <w:t xml:space="preserve"> location, SCE can perform the following remedies: footing repair, footing replacement/rebuild, sandblasting, tower coating application, corroded steel lattice member replacement, or entire structure replacement.</w:t>
      </w:r>
    </w:p>
    <w:p w14:paraId="0E6C362B" w14:textId="77777777" w:rsidR="00BF7203" w:rsidRPr="00D1084B" w:rsidRDefault="00BF7203"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SCE’s forecast for this activity is based on unit costs and scope estimates from SCE’s prior engineering efforts as well as from an internal pilot program, both for assessments of SCE’s transmission towers and for planned remediation. Assessment and testing practices will take place on all of SCE’s towers to identify further remediation needs. Assessment costs are for bore scope, ultrasonic, and engineering assessments. Bore scope and engineering assessments are performed on transmission towers, while ultrasonic testing is used for tubular steel poles (TSPs). For remediations, SCE has known project scope and anticipated scope that will arise from its forthcoming assessments and testing that are performed on each of its transmission towers.</w:t>
      </w:r>
    </w:p>
    <w:p w14:paraId="6866BA1A" w14:textId="77777777" w:rsidR="00BF7203" w:rsidRPr="00D1084B" w:rsidRDefault="00BF7203"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will also target high risk structures within SCE’s High Fire Risk Areas (HFRA) to assess and remediate any transmission towers located in areas that pose the highest wildfire risk. To do this, SCE will leverage the various wildfire risk analysis tools SCE has developed in support of its broader wildfire mitigation efforts. Additional information on these tools and </w:t>
      </w:r>
      <w:r w:rsidRPr="00D1084B">
        <w:rPr>
          <w:rFonts w:ascii="Times New Roman" w:eastAsia="Times New Roman" w:hAnsi="Times New Roman" w:cs="Times New Roman"/>
          <w:color w:val="000000" w:themeColor="text1"/>
          <w:sz w:val="26"/>
          <w:szCs w:val="26"/>
        </w:rPr>
        <w:lastRenderedPageBreak/>
        <w:t xml:space="preserve">models can be found in SCE’s 2020 Wildfire Mitigation Plan (WMP), as well as the annual WMP’s, and other updates, that have been submitted </w:t>
      </w:r>
      <w:proofErr w:type="gramStart"/>
      <w:r w:rsidRPr="00D1084B">
        <w:rPr>
          <w:rFonts w:ascii="Times New Roman" w:eastAsia="Times New Roman" w:hAnsi="Times New Roman" w:cs="Times New Roman"/>
          <w:color w:val="000000" w:themeColor="text1"/>
          <w:sz w:val="26"/>
          <w:szCs w:val="26"/>
        </w:rPr>
        <w:t>subsequent to</w:t>
      </w:r>
      <w:proofErr w:type="gramEnd"/>
      <w:r w:rsidRPr="00D1084B">
        <w:rPr>
          <w:rFonts w:ascii="Times New Roman" w:eastAsia="Times New Roman" w:hAnsi="Times New Roman" w:cs="Times New Roman"/>
          <w:color w:val="000000" w:themeColor="text1"/>
          <w:sz w:val="26"/>
          <w:szCs w:val="26"/>
        </w:rPr>
        <w:t xml:space="preserve"> the 2020 WMP.</w:t>
      </w:r>
    </w:p>
    <w:p w14:paraId="47FE7746" w14:textId="01A3ACF1" w:rsidR="00BF7203" w:rsidRPr="00D1084B" w:rsidRDefault="00BF7203" w:rsidP="00835CB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Pr>
          <w:rFonts w:ascii="Times New Roman" w:eastAsia="Times New Roman" w:hAnsi="Times New Roman" w:cs="Times New Roman"/>
          <w:color w:val="000000" w:themeColor="text1"/>
          <w:sz w:val="26"/>
          <w:szCs w:val="26"/>
        </w:rPr>
        <w:t>14.891</w:t>
      </w:r>
      <w:r w:rsidRPr="00D1084B">
        <w:rPr>
          <w:rFonts w:ascii="Times New Roman" w:eastAsia="Times New Roman" w:hAnsi="Times New Roman" w:cs="Times New Roman"/>
          <w:color w:val="000000" w:themeColor="text1"/>
          <w:sz w:val="26"/>
          <w:szCs w:val="26"/>
        </w:rPr>
        <w:t xml:space="preserve"> million.</w:t>
      </w:r>
    </w:p>
    <w:p w14:paraId="4C928FF8" w14:textId="77777777" w:rsidR="0027654C" w:rsidRDefault="0027654C" w:rsidP="00EE1FB9">
      <w:pPr>
        <w:pStyle w:val="StyleHeading1TextLeft0Hanging025"/>
        <w:ind w:left="0" w:firstLine="0"/>
        <w:rPr>
          <w:color w:val="000000" w:themeColor="text1"/>
          <w:sz w:val="26"/>
          <w:szCs w:val="26"/>
        </w:rPr>
      </w:pPr>
    </w:p>
    <w:p w14:paraId="54CA426E" w14:textId="77777777" w:rsidR="002C16F3" w:rsidRPr="00D1084B" w:rsidRDefault="002C16F3" w:rsidP="002C16F3">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 Storm (PIN: 3367)</w:t>
      </w:r>
    </w:p>
    <w:p w14:paraId="6E635771" w14:textId="77777777" w:rsidR="002C16F3" w:rsidRPr="00D1084B" w:rsidRDefault="002C16F3" w:rsidP="006B0137">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This activity includes costs associated with replacing transmission electrical facilities, structures, or equipment damaged during storm events. Storm events are driven by weather and other environmental factors outside of SCE’s control.</w:t>
      </w:r>
      <w:r w:rsidRPr="00D1084B">
        <w:rPr>
          <w:rFonts w:ascii="Times New Roman" w:eastAsia="Times New Roman" w:hAnsi="Times New Roman" w:cs="Times New Roman"/>
          <w:color w:val="000000" w:themeColor="text1"/>
          <w:sz w:val="26"/>
          <w:szCs w:val="26"/>
        </w:rPr>
        <w:tab/>
      </w:r>
      <w:r w:rsidRPr="00D1084B">
        <w:rPr>
          <w:rFonts w:ascii="Times New Roman" w:eastAsia="Times New Roman" w:hAnsi="Times New Roman" w:cs="Times New Roman"/>
          <w:color w:val="000000" w:themeColor="text1"/>
          <w:sz w:val="26"/>
          <w:szCs w:val="26"/>
        </w:rPr>
        <w:tab/>
      </w:r>
    </w:p>
    <w:p w14:paraId="741E6FF3" w14:textId="0C087746" w:rsidR="002C16F3" w:rsidRPr="00D1084B" w:rsidRDefault="002C16F3" w:rsidP="002C16F3">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$7.9</w:t>
      </w:r>
      <w:r>
        <w:rPr>
          <w:rFonts w:ascii="Times New Roman" w:eastAsia="Times New Roman" w:hAnsi="Times New Roman" w:cs="Times New Roman"/>
          <w:color w:val="000000" w:themeColor="text1"/>
          <w:sz w:val="26"/>
          <w:szCs w:val="26"/>
        </w:rPr>
        <w:t>0</w:t>
      </w:r>
      <w:r w:rsidRPr="00D1084B">
        <w:rPr>
          <w:rFonts w:ascii="Times New Roman" w:eastAsia="Times New Roman" w:hAnsi="Times New Roman" w:cs="Times New Roman"/>
          <w:color w:val="000000" w:themeColor="text1"/>
          <w:sz w:val="26"/>
          <w:szCs w:val="26"/>
        </w:rPr>
        <w:t>2 million.</w:t>
      </w:r>
    </w:p>
    <w:p w14:paraId="075422B7" w14:textId="0F1961AF" w:rsidR="00026E1C" w:rsidRDefault="00026E1C">
      <w:pPr>
        <w:rPr>
          <w:rFonts w:ascii="Times New Roman" w:eastAsia="Malgun Gothic" w:hAnsi="Times New Roman" w:cs="Times New Roman"/>
          <w:b/>
          <w:color w:val="000000" w:themeColor="text1"/>
          <w:sz w:val="26"/>
          <w:szCs w:val="26"/>
        </w:rPr>
      </w:pPr>
    </w:p>
    <w:p w14:paraId="78C9A611" w14:textId="11213BBD" w:rsidR="00E82E20" w:rsidRPr="0008793A" w:rsidRDefault="0008793A" w:rsidP="00E82E20">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08793A">
        <w:rPr>
          <w:rFonts w:ascii="Times New Roman" w:eastAsia="Malgun Gothic" w:hAnsi="Times New Roman" w:cs="Times New Roman"/>
          <w:b/>
          <w:color w:val="000000" w:themeColor="text1"/>
          <w:sz w:val="26"/>
          <w:szCs w:val="26"/>
        </w:rPr>
        <w:t xml:space="preserve"> </w:t>
      </w:r>
      <w:r w:rsidR="00E82E20" w:rsidRPr="0008793A">
        <w:rPr>
          <w:rFonts w:ascii="Times New Roman" w:eastAsia="Malgun Gothic" w:hAnsi="Times New Roman" w:cs="Times New Roman"/>
          <w:b/>
          <w:color w:val="000000" w:themeColor="text1"/>
          <w:sz w:val="26"/>
          <w:szCs w:val="26"/>
        </w:rPr>
        <w:t xml:space="preserve">Bulk Power Circuit Breaker Replacement (PIN: 4211) </w:t>
      </w:r>
    </w:p>
    <w:p w14:paraId="6AF4C7CB" w14:textId="77777777" w:rsidR="00E82E20" w:rsidRPr="00D1084B" w:rsidRDefault="00E82E20" w:rsidP="006B0137">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Bulk power circuit breakers interrupt the flow of electricity through transmission lines, typically at the 500 kV or 230 kV voltage level.  Circuit breakers are essential in preventing equipment damage and public injury when faults occur in their downstream circuits.  </w:t>
      </w:r>
    </w:p>
    <w:p w14:paraId="4BA1AD0F" w14:textId="77777777" w:rsidR="00E82E20" w:rsidRPr="00D1084B" w:rsidRDefault="00E82E20" w:rsidP="00E82E20">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Bulk Power Circuit Breaker Replacement program identifies and replaces bulk power circuit breakers approaching the end of their service lives that contain parts known to be: (1) problematic, (2) no longer available, or (3) that can no longer be cost-effectively maintained. Circuit Breaker replacements are identified similarly to transformers using Weibull analysis and the Health Index. The Health Index </w:t>
      </w:r>
      <w:proofErr w:type="gramStart"/>
      <w:r w:rsidRPr="00D1084B">
        <w:rPr>
          <w:rFonts w:ascii="Times New Roman" w:eastAsia="Times New Roman" w:hAnsi="Times New Roman" w:cs="Times New Roman"/>
          <w:color w:val="000000" w:themeColor="text1"/>
          <w:sz w:val="26"/>
          <w:szCs w:val="26"/>
        </w:rPr>
        <w:t>aides</w:t>
      </w:r>
      <w:proofErr w:type="gramEnd"/>
      <w:r w:rsidRPr="00D1084B">
        <w:rPr>
          <w:rFonts w:ascii="Times New Roman" w:eastAsia="Times New Roman" w:hAnsi="Times New Roman" w:cs="Times New Roman"/>
          <w:color w:val="000000" w:themeColor="text1"/>
          <w:sz w:val="26"/>
          <w:szCs w:val="26"/>
        </w:rPr>
        <w:t xml:space="preserve"> in prioritizing and replacing the correct asset population with the highest risk and consequence of failure. The replacement of bulk power circuit breakers is under FERC jurisdiction and is necessary to proactively replace aging 500 kV and 230 kV circuit breakers at substations to enhance transmission system safety and to improve system reliability. This program also increases the reliability of the ISO transmission grid. </w:t>
      </w:r>
    </w:p>
    <w:p w14:paraId="1478EB19" w14:textId="77777777" w:rsidR="00E82E20" w:rsidRPr="00D1084B" w:rsidRDefault="00E82E20" w:rsidP="00E82E20">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To derive the circuit breakers’ health index, SCE utilizes a multiplicative formulation that incorporates information such as inspection data, overstress percentage, Predictive Maintenance </w:t>
      </w:r>
      <w:r w:rsidRPr="00D1084B">
        <w:rPr>
          <w:rFonts w:ascii="Times New Roman" w:eastAsia="Times New Roman" w:hAnsi="Times New Roman" w:cs="Times New Roman"/>
          <w:color w:val="000000" w:themeColor="text1"/>
          <w:sz w:val="26"/>
          <w:szCs w:val="26"/>
        </w:rPr>
        <w:lastRenderedPageBreak/>
        <w:t>Assessment (PMA), circuit breaker analysis (CBA), Oil Circuit Breaker Analysis (OCBA), notification, and field condition that determines the degradation and deterioration of a circuit breaker.</w:t>
      </w:r>
    </w:p>
    <w:p w14:paraId="7DDFDEF7" w14:textId="19ECC757" w:rsidR="00E82E20" w:rsidRPr="00D1084B" w:rsidRDefault="00E82E20" w:rsidP="00E82E2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Pr>
          <w:rFonts w:ascii="Times New Roman" w:eastAsia="Malgun Gothic" w:hAnsi="Times New Roman" w:cs="Times New Roman"/>
          <w:bCs/>
          <w:color w:val="000000" w:themeColor="text1"/>
          <w:sz w:val="26"/>
          <w:szCs w:val="26"/>
        </w:rPr>
        <w:t>9.071</w:t>
      </w:r>
      <w:r w:rsidRPr="00D1084B">
        <w:rPr>
          <w:rFonts w:ascii="Times New Roman" w:eastAsia="Malgun Gothic" w:hAnsi="Times New Roman" w:cs="Times New Roman"/>
          <w:bCs/>
          <w:color w:val="000000" w:themeColor="text1"/>
          <w:sz w:val="26"/>
          <w:szCs w:val="26"/>
        </w:rPr>
        <w:t xml:space="preserve"> million.</w:t>
      </w:r>
    </w:p>
    <w:p w14:paraId="6C67F084" w14:textId="77777777" w:rsidR="0027654C" w:rsidRDefault="0027654C" w:rsidP="00EE1FB9">
      <w:pPr>
        <w:pStyle w:val="StyleHeading1TextLeft0Hanging025"/>
        <w:ind w:left="0" w:firstLine="0"/>
        <w:rPr>
          <w:color w:val="000000" w:themeColor="text1"/>
          <w:sz w:val="26"/>
          <w:szCs w:val="26"/>
        </w:rPr>
      </w:pPr>
    </w:p>
    <w:p w14:paraId="43AA5C17" w14:textId="124D5D37" w:rsidR="0008793A" w:rsidRPr="00D1084B" w:rsidRDefault="0008793A" w:rsidP="0008793A">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Pr>
          <w:rFonts w:ascii="Times New Roman" w:eastAsia="Malgun Gothic" w:hAnsi="Times New Roman" w:cs="Times New Roman"/>
          <w:b/>
          <w:color w:val="000000" w:themeColor="text1"/>
          <w:sz w:val="26"/>
          <w:szCs w:val="26"/>
        </w:rPr>
        <w:t xml:space="preserve"> </w:t>
      </w:r>
      <w:r w:rsidRPr="00D1084B">
        <w:rPr>
          <w:rFonts w:ascii="Times New Roman" w:eastAsia="Malgun Gothic" w:hAnsi="Times New Roman" w:cs="Times New Roman"/>
          <w:b/>
          <w:color w:val="000000" w:themeColor="text1"/>
          <w:sz w:val="26"/>
          <w:szCs w:val="26"/>
        </w:rPr>
        <w:t>Palo Verde Switchrack (PIN: 4651)</w:t>
      </w:r>
    </w:p>
    <w:p w14:paraId="799BC215" w14:textId="77777777" w:rsidR="0008793A" w:rsidRPr="00D1084B" w:rsidRDefault="0008793A" w:rsidP="006B0137">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Various capital projects related to the Arizona Nuclear Power Project (ANPP) High Voltage Switchyard, which includes but not limited </w:t>
      </w:r>
      <w:proofErr w:type="gramStart"/>
      <w:r w:rsidRPr="00D1084B">
        <w:rPr>
          <w:rFonts w:ascii="Times New Roman" w:eastAsia="Malgun Gothic" w:hAnsi="Times New Roman" w:cs="Times New Roman"/>
          <w:bCs/>
          <w:color w:val="000000" w:themeColor="text1"/>
          <w:sz w:val="26"/>
          <w:szCs w:val="26"/>
        </w:rPr>
        <w:t>to:</w:t>
      </w:r>
      <w:proofErr w:type="gramEnd"/>
      <w:r w:rsidRPr="00D1084B">
        <w:rPr>
          <w:rFonts w:ascii="Times New Roman" w:eastAsia="Malgun Gothic" w:hAnsi="Times New Roman" w:cs="Times New Roman"/>
          <w:bCs/>
          <w:color w:val="000000" w:themeColor="text1"/>
          <w:sz w:val="26"/>
          <w:szCs w:val="26"/>
        </w:rPr>
        <w:t xml:space="preserve"> disconnect switch repl</w:t>
      </w:r>
      <w:r>
        <w:rPr>
          <w:rFonts w:ascii="Times New Roman" w:eastAsia="Malgun Gothic" w:hAnsi="Times New Roman" w:cs="Times New Roman"/>
          <w:bCs/>
          <w:color w:val="000000" w:themeColor="text1"/>
          <w:sz w:val="26"/>
          <w:szCs w:val="26"/>
        </w:rPr>
        <w:t>acement</w:t>
      </w:r>
      <w:r w:rsidRPr="00D1084B">
        <w:rPr>
          <w:rFonts w:ascii="Times New Roman" w:eastAsia="Malgun Gothic" w:hAnsi="Times New Roman" w:cs="Times New Roman"/>
          <w:bCs/>
          <w:color w:val="000000" w:themeColor="text1"/>
          <w:sz w:val="26"/>
          <w:szCs w:val="26"/>
        </w:rPr>
        <w:t>, cable trench replacement, and fire protection enhancements.</w:t>
      </w:r>
    </w:p>
    <w:p w14:paraId="677196C3" w14:textId="46BB1625" w:rsidR="0008793A" w:rsidRPr="00D1084B" w:rsidRDefault="0008793A" w:rsidP="0008793A">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Pr>
          <w:rFonts w:ascii="Times New Roman" w:eastAsia="Malgun Gothic" w:hAnsi="Times New Roman" w:cs="Times New Roman"/>
          <w:bCs/>
          <w:color w:val="000000" w:themeColor="text1"/>
          <w:sz w:val="26"/>
          <w:szCs w:val="26"/>
        </w:rPr>
        <w:t>10.052</w:t>
      </w:r>
      <w:r w:rsidRPr="00D1084B">
        <w:rPr>
          <w:rFonts w:ascii="Times New Roman" w:eastAsia="Malgun Gothic" w:hAnsi="Times New Roman" w:cs="Times New Roman"/>
          <w:bCs/>
          <w:color w:val="000000" w:themeColor="text1"/>
          <w:sz w:val="26"/>
          <w:szCs w:val="26"/>
        </w:rPr>
        <w:t xml:space="preserve"> million.</w:t>
      </w:r>
    </w:p>
    <w:p w14:paraId="2CEAB83A" w14:textId="77777777" w:rsidR="0008793A" w:rsidRDefault="0008793A" w:rsidP="00EE1FB9">
      <w:pPr>
        <w:pStyle w:val="StyleHeading1TextLeft0Hanging025"/>
        <w:ind w:left="0" w:firstLine="0"/>
        <w:rPr>
          <w:color w:val="000000" w:themeColor="text1"/>
          <w:sz w:val="26"/>
          <w:szCs w:val="26"/>
        </w:rPr>
      </w:pPr>
    </w:p>
    <w:p w14:paraId="233A2C8E" w14:textId="0001C384" w:rsidR="00F33B68" w:rsidRPr="00D1084B" w:rsidRDefault="00F33B68" w:rsidP="00F33B6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D1084B">
        <w:rPr>
          <w:rFonts w:ascii="Times New Roman" w:eastAsia="Malgun Gothic" w:hAnsi="Times New Roman" w:cs="Times New Roman"/>
          <w:b/>
          <w:bCs/>
          <w:color w:val="000000" w:themeColor="text1"/>
          <w:sz w:val="26"/>
          <w:szCs w:val="26"/>
        </w:rPr>
        <w:t>Substation Miscellaneous Equipment Additions &amp; Betterment (PIN: 4756)</w:t>
      </w:r>
    </w:p>
    <w:p w14:paraId="09CBF950" w14:textId="77777777" w:rsidR="00F33B68" w:rsidRPr="00D1084B" w:rsidRDefault="00F33B68" w:rsidP="006B0137">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Substation Miscellaneous Equipment Additions &amp; Betterment program includes planned capital maintenance that is typically driven by substation inspection and maintenance programs. Activity within this program is driven by the imminent failure of equipment or possible safety issues.</w:t>
      </w:r>
    </w:p>
    <w:p w14:paraId="71282E9A" w14:textId="77777777" w:rsidR="00F33B68" w:rsidRPr="00D1084B" w:rsidRDefault="00F33B68" w:rsidP="00F33B68">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All equipment classes, including the major equipment categories (circuit breakers, transformers, and relays) can be replaced for reactive reasons in this category. These replacements are predominantly like-for-like replacement with limited engineering required.</w:t>
      </w:r>
    </w:p>
    <w:p w14:paraId="2D90C128" w14:textId="77777777" w:rsidR="00F33B68" w:rsidRPr="00D1084B" w:rsidRDefault="00F33B68" w:rsidP="00F33B68">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Equipment that is identified as requiring replacement must be replaced in a timely manner because substation equipment failures may lead to prolonged outages, unsafe operating conditions, possible safety issues, or more expensive reactive solutions. This typically includes the installation and replacement of trench covers, potential transformers, current transformers, batteries, charges, as well as emergent circuit breakers, B-bank transformers and disconnect replacements that are not covered under a specific commodity capital program.</w:t>
      </w:r>
    </w:p>
    <w:p w14:paraId="254EF513" w14:textId="2B7DF302" w:rsidR="00F33B68" w:rsidRPr="00D1084B" w:rsidRDefault="00F33B68" w:rsidP="00F33B6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w:t>
      </w:r>
      <w:r w:rsidR="006664F5">
        <w:rPr>
          <w:rFonts w:ascii="Times New Roman" w:eastAsia="Malgun Gothic" w:hAnsi="Times New Roman" w:cs="Times New Roman"/>
          <w:bCs/>
          <w:color w:val="000000" w:themeColor="text1"/>
          <w:sz w:val="26"/>
          <w:szCs w:val="26"/>
        </w:rPr>
        <w:t>18.573</w:t>
      </w:r>
      <w:r w:rsidRPr="00D1084B">
        <w:rPr>
          <w:rFonts w:ascii="Times New Roman" w:eastAsia="Malgun Gothic" w:hAnsi="Times New Roman" w:cs="Times New Roman"/>
          <w:bCs/>
          <w:color w:val="000000" w:themeColor="text1"/>
          <w:sz w:val="26"/>
          <w:szCs w:val="26"/>
        </w:rPr>
        <w:t xml:space="preserve"> million.</w:t>
      </w:r>
    </w:p>
    <w:p w14:paraId="3BDBDAB3" w14:textId="77777777" w:rsidR="0027654C" w:rsidRDefault="0027654C" w:rsidP="00EE1FB9">
      <w:pPr>
        <w:pStyle w:val="StyleHeading1TextLeft0Hanging025"/>
        <w:ind w:left="0" w:firstLine="0"/>
        <w:rPr>
          <w:color w:val="000000" w:themeColor="text1"/>
          <w:sz w:val="26"/>
          <w:szCs w:val="26"/>
        </w:rPr>
      </w:pPr>
    </w:p>
    <w:p w14:paraId="06060D72" w14:textId="23FD357B" w:rsidR="00D5626C" w:rsidRPr="00D1084B" w:rsidRDefault="00D5626C" w:rsidP="00D5626C">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D1084B">
        <w:rPr>
          <w:rFonts w:ascii="Times New Roman" w:eastAsia="Malgun Gothic" w:hAnsi="Times New Roman" w:cs="Times New Roman"/>
          <w:b/>
          <w:bCs/>
          <w:color w:val="000000" w:themeColor="text1"/>
          <w:sz w:val="26"/>
          <w:szCs w:val="26"/>
        </w:rPr>
        <w:t>Bulk Power 500 kV &amp; 230 kV Line Relay Replacement (PIN: 5089)</w:t>
      </w:r>
    </w:p>
    <w:p w14:paraId="313E7CDF" w14:textId="77777777" w:rsidR="00D5626C" w:rsidRPr="00D1084B" w:rsidRDefault="00D5626C" w:rsidP="006B0137">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Bulk Power 500kV &amp; 230 kV Line Relay Replacement Program and Non-Bulk Substation Relay Replacement Program (SRRP) identify and proactively replace substation protective relays, automation, and control equipment. These programs are driven by equipment obsolescence and compliance requirements (where applicable).</w:t>
      </w:r>
    </w:p>
    <w:p w14:paraId="4549422A" w14:textId="77777777" w:rsidR="00D5626C" w:rsidRPr="00D1084B" w:rsidRDefault="00D5626C" w:rsidP="00D5626C">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prioritization of relay replacements is based on several factors: age of the relay; relay obsolescence; level of effort required to maintain a complex and unique relay model; system criticality; and current protection and compliance requirements. These are discussed further below:</w:t>
      </w:r>
    </w:p>
    <w:p w14:paraId="267C2638" w14:textId="77777777" w:rsidR="00D5626C" w:rsidRPr="00D1084B" w:rsidRDefault="00D5626C" w:rsidP="00D5626C">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Age of the relay: Relays that have reached their end of life, or that have become obsolete and no longer serviceable, are targeted for replacement. Relays testing out of tolerance during routine testing that cannot be repaired are also targeted by the program. Another aspect of older relays is that they may not be recording events. The replacement of these relays helps with data recording when an event occurs.</w:t>
      </w:r>
    </w:p>
    <w:p w14:paraId="03D2E779" w14:textId="77777777" w:rsidR="00D5626C" w:rsidRPr="00D1084B" w:rsidRDefault="00D5626C" w:rsidP="00D5626C">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Relay obsolescence: Another driver </w:t>
      </w:r>
      <w:proofErr w:type="gramStart"/>
      <w:r w:rsidRPr="00D1084B">
        <w:rPr>
          <w:rFonts w:ascii="Times New Roman" w:eastAsia="Times New Roman" w:hAnsi="Times New Roman" w:cs="Times New Roman"/>
          <w:color w:val="000000" w:themeColor="text1"/>
          <w:sz w:val="26"/>
          <w:szCs w:val="26"/>
        </w:rPr>
        <w:t>is the need to have</w:t>
      </w:r>
      <w:proofErr w:type="gramEnd"/>
      <w:r w:rsidRPr="00D1084B">
        <w:rPr>
          <w:rFonts w:ascii="Times New Roman" w:eastAsia="Times New Roman" w:hAnsi="Times New Roman" w:cs="Times New Roman"/>
          <w:color w:val="000000" w:themeColor="text1"/>
          <w:sz w:val="26"/>
          <w:szCs w:val="26"/>
        </w:rPr>
        <w:t xml:space="preserve"> more functionality in a relay such as added protection capabilities, event recording and alarming for failure. SCE may want to replace an electromechanical relay with a digital relay for added functions that are included with a digital relay.</w:t>
      </w:r>
    </w:p>
    <w:p w14:paraId="4D06B81E" w14:textId="77777777" w:rsidR="00D5626C" w:rsidRPr="00D1084B" w:rsidRDefault="00D5626C" w:rsidP="00D5626C">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Level of required effort: There are some relays that require excessive resources to maintain. It may not be cost effective to keep maintaining such relays due to the complexity and uniqueness of the relay and </w:t>
      </w:r>
      <w:proofErr w:type="gramStart"/>
      <w:r w:rsidRPr="00D1084B">
        <w:rPr>
          <w:rFonts w:ascii="Times New Roman" w:eastAsia="Times New Roman" w:hAnsi="Times New Roman" w:cs="Times New Roman"/>
          <w:color w:val="000000" w:themeColor="text1"/>
          <w:sz w:val="26"/>
          <w:szCs w:val="26"/>
        </w:rPr>
        <w:t>a need</w:t>
      </w:r>
      <w:proofErr w:type="gramEnd"/>
      <w:r w:rsidRPr="00D1084B">
        <w:rPr>
          <w:rFonts w:ascii="Times New Roman" w:eastAsia="Times New Roman" w:hAnsi="Times New Roman" w:cs="Times New Roman"/>
          <w:color w:val="000000" w:themeColor="text1"/>
          <w:sz w:val="26"/>
          <w:szCs w:val="26"/>
        </w:rPr>
        <w:t xml:space="preserve"> for unique, specified knowledge to maintain them.</w:t>
      </w:r>
    </w:p>
    <w:p w14:paraId="15D2225B" w14:textId="77777777" w:rsidR="00D5626C" w:rsidRPr="00D1084B" w:rsidRDefault="00D5626C" w:rsidP="00D5626C">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System criticality: The criticality of the system that the relay protects is taken into consideration. For example, SCE considers the impacts should a relay fail or have a mis-</w:t>
      </w:r>
      <w:r w:rsidRPr="00D1084B">
        <w:rPr>
          <w:rFonts w:ascii="Times New Roman" w:eastAsia="Times New Roman" w:hAnsi="Times New Roman" w:cs="Times New Roman"/>
          <w:color w:val="000000" w:themeColor="text1"/>
          <w:sz w:val="26"/>
          <w:szCs w:val="26"/>
        </w:rPr>
        <w:lastRenderedPageBreak/>
        <w:t>operation. In many cases, SCE will proactively replace an older relay in favor of reacting to an imminent failure.</w:t>
      </w:r>
    </w:p>
    <w:p w14:paraId="397CAD2A" w14:textId="77777777" w:rsidR="00D5626C" w:rsidRPr="00D1084B" w:rsidRDefault="00D5626C" w:rsidP="00D5626C">
      <w:pPr>
        <w:tabs>
          <w:tab w:val="left" w:pos="1440"/>
        </w:tabs>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Current protection and compliance requirements: The current relay may not be capable of new compliance requirements or protection needs such as relay coordination parameters.</w:t>
      </w:r>
    </w:p>
    <w:p w14:paraId="7F0BEF42" w14:textId="35ABFF5A" w:rsidR="00D5626C" w:rsidRPr="00D1084B" w:rsidRDefault="00D5626C" w:rsidP="006B0137">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Pr>
          <w:rFonts w:ascii="Times New Roman" w:eastAsia="Malgun Gothic" w:hAnsi="Times New Roman" w:cs="Times New Roman"/>
          <w:bCs/>
          <w:color w:val="000000" w:themeColor="text1"/>
          <w:sz w:val="26"/>
          <w:szCs w:val="26"/>
        </w:rPr>
        <w:t>5.959</w:t>
      </w:r>
      <w:r w:rsidRPr="00D1084B">
        <w:rPr>
          <w:rFonts w:ascii="Times New Roman" w:eastAsia="Malgun Gothic" w:hAnsi="Times New Roman" w:cs="Times New Roman"/>
          <w:bCs/>
          <w:color w:val="000000" w:themeColor="text1"/>
          <w:sz w:val="26"/>
          <w:szCs w:val="26"/>
        </w:rPr>
        <w:t xml:space="preserve"> million.</w:t>
      </w:r>
    </w:p>
    <w:p w14:paraId="0F45DB98" w14:textId="77777777" w:rsidR="00D5626C" w:rsidRDefault="00D5626C" w:rsidP="00EE1FB9">
      <w:pPr>
        <w:pStyle w:val="StyleHeading1TextLeft0Hanging025"/>
        <w:ind w:left="0" w:firstLine="0"/>
        <w:rPr>
          <w:color w:val="000000" w:themeColor="text1"/>
          <w:sz w:val="26"/>
          <w:szCs w:val="26"/>
        </w:rPr>
      </w:pPr>
    </w:p>
    <w:p w14:paraId="5DD3F03C" w14:textId="395AE306" w:rsidR="00DC4366" w:rsidRPr="00D1084B" w:rsidRDefault="00B2715C" w:rsidP="00DC4366">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Pr>
          <w:rFonts w:ascii="Times New Roman" w:eastAsia="Malgun Gothic" w:hAnsi="Times New Roman" w:cs="Times New Roman"/>
          <w:b/>
          <w:bCs/>
          <w:color w:val="000000" w:themeColor="text1"/>
          <w:sz w:val="26"/>
          <w:szCs w:val="26"/>
        </w:rPr>
        <w:t xml:space="preserve"> </w:t>
      </w:r>
      <w:r w:rsidR="00DC4366" w:rsidRPr="00D1084B">
        <w:rPr>
          <w:rFonts w:ascii="Times New Roman" w:eastAsia="Malgun Gothic" w:hAnsi="Times New Roman" w:cs="Times New Roman"/>
          <w:b/>
          <w:bCs/>
          <w:color w:val="000000" w:themeColor="text1"/>
          <w:sz w:val="26"/>
          <w:szCs w:val="26"/>
        </w:rPr>
        <w:t xml:space="preserve">Transmission Line Rating Remediation (Exempt from Licensing) (PIN: 7298) </w:t>
      </w:r>
    </w:p>
    <w:p w14:paraId="26B41C78" w14:textId="77777777" w:rsidR="00DC4366" w:rsidRPr="00D1084B" w:rsidRDefault="00DC4366" w:rsidP="006B0137">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conducted a rating assessment of its CAISO controlled and 115 kV radial lines built before 2005 to identify spans potentially not meeting CPUC’s General Order (GO) 95 clearance requirements under certain operating and atmospheric conditions. SCE committed to North American Electric Reliability Corporation (NERC) and </w:t>
      </w:r>
      <w:r w:rsidRPr="00D1084B">
        <w:rPr>
          <w:rFonts w:ascii="Times New Roman" w:eastAsia="Malgun Gothic" w:hAnsi="Times New Roman" w:cs="Times New Roman"/>
          <w:bCs/>
          <w:color w:val="000000" w:themeColor="text1"/>
          <w:sz w:val="26"/>
          <w:szCs w:val="26"/>
        </w:rPr>
        <w:t>Western Electricity Coordinating Council (W</w:t>
      </w:r>
      <w:r w:rsidRPr="00D1084B">
        <w:rPr>
          <w:rFonts w:ascii="Times New Roman" w:eastAsia="Times New Roman" w:hAnsi="Times New Roman" w:cs="Times New Roman"/>
          <w:color w:val="000000" w:themeColor="text1"/>
          <w:sz w:val="26"/>
          <w:szCs w:val="26"/>
        </w:rPr>
        <w:t>ECC) to remediate all identified potential clearance issues for the CAISO-controlled facilities by 2025 and the 115 kV radial lines by 2030. While not its original intent, to the extent this remediation program reduces risk related to transmission line discrepancies in High Fire Risk Areas (HFRA), it has important secondary wildfire risk mitigation benefits.</w:t>
      </w:r>
    </w:p>
    <w:p w14:paraId="66B4E5EF" w14:textId="77777777" w:rsidR="00DC4366" w:rsidRPr="00D1084B" w:rsidRDefault="00DC4366" w:rsidP="00DC4366">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 Light Detection and Ranging (LiDAR) study was conducted to identify transmission lines potentially in violation of GO 95 Table 1,</w:t>
      </w:r>
      <w:r w:rsidRPr="00D1084B">
        <w:rPr>
          <w:rStyle w:val="FootnoteReference"/>
          <w:rFonts w:ascii="Times New Roman" w:eastAsia="Times New Roman" w:hAnsi="Times New Roman" w:cs="Times New Roman"/>
          <w:color w:val="000000" w:themeColor="text1"/>
          <w:sz w:val="26"/>
          <w:szCs w:val="26"/>
        </w:rPr>
        <w:footnoteReference w:id="2"/>
      </w:r>
      <w:r w:rsidRPr="00D1084B">
        <w:rPr>
          <w:rFonts w:ascii="Times New Roman" w:eastAsia="Times New Roman" w:hAnsi="Times New Roman" w:cs="Times New Roman"/>
          <w:color w:val="000000" w:themeColor="text1"/>
          <w:sz w:val="26"/>
          <w:szCs w:val="26"/>
        </w:rPr>
        <w:t xml:space="preserve"> which included building industry standard Power Line Systems-Computer Aided Design and Drafting (PLS-CADD) three-dimensional models to analyze each line for potential clearance discrepancies. Based on the results of the LiDAR study, SCE prioritized the transmission line discrepancies based on criteria such as line sag when operating at or above 130 degrees Fahrenheit and potential risk to public safety and system reliability based on location of span, terrain, encroachment type, and extent of deviation from standards.</w:t>
      </w:r>
    </w:p>
    <w:p w14:paraId="44E5E075" w14:textId="77777777" w:rsidR="00DC4366" w:rsidRPr="00D1084B" w:rsidRDefault="00DC4366" w:rsidP="00DC4366">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has taken a programmatic approach to the remediation work by utilizing new technologies and construction methods to minimize overall project impacts. Aligning scope with </w:t>
      </w:r>
      <w:r w:rsidRPr="00D1084B">
        <w:rPr>
          <w:rFonts w:ascii="Times New Roman" w:eastAsia="Times New Roman" w:hAnsi="Times New Roman" w:cs="Times New Roman"/>
          <w:color w:val="000000" w:themeColor="text1"/>
          <w:sz w:val="26"/>
          <w:szCs w:val="26"/>
        </w:rPr>
        <w:lastRenderedPageBreak/>
        <w:t xml:space="preserve">other programs and initiatives minimizes redundant work, outage impacts, and resource constraints. Initially, the program prioritized discrepancies into six levels and the focus was to </w:t>
      </w:r>
      <w:proofErr w:type="gramStart"/>
      <w:r w:rsidRPr="00D1084B">
        <w:rPr>
          <w:rFonts w:ascii="Times New Roman" w:eastAsia="Times New Roman" w:hAnsi="Times New Roman" w:cs="Times New Roman"/>
          <w:color w:val="000000" w:themeColor="text1"/>
          <w:sz w:val="26"/>
          <w:szCs w:val="26"/>
        </w:rPr>
        <w:t>remediate</w:t>
      </w:r>
      <w:proofErr w:type="gramEnd"/>
      <w:r w:rsidRPr="00D1084B">
        <w:rPr>
          <w:rFonts w:ascii="Times New Roman" w:eastAsia="Times New Roman" w:hAnsi="Times New Roman" w:cs="Times New Roman"/>
          <w:color w:val="000000" w:themeColor="text1"/>
          <w:sz w:val="26"/>
          <w:szCs w:val="26"/>
        </w:rPr>
        <w:t xml:space="preserve"> in order of highest priority. A discrepancy is any condition found in the field requiring remediation to meet GO 95 requirements during peak loading conditions. Currently, all discrepancies are evaluated on an entire circuit basis to allow for a holistic and effective remediation strategy. There are two major categories of discrepancies SCE is mitigating: (1) Bulk Transmission – 500 kV and 230 kV; and (2) Non-Bulk or Sub-transmission – 161 kV, 115 kV, 66 kV, and 55 kV. The following factors are considered when reviewing the discrepancies:</w:t>
      </w:r>
    </w:p>
    <w:p w14:paraId="41E0D227"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Geographic proximity and bundling of projects for construction efficiencies.</w:t>
      </w:r>
    </w:p>
    <w:p w14:paraId="68EB005A"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Government land or land agency overlap.</w:t>
      </w:r>
    </w:p>
    <w:p w14:paraId="1A7962E6"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Permitting similarities and schedule impacts.</w:t>
      </w:r>
    </w:p>
    <w:p w14:paraId="3DD3E21A"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Engineering design.</w:t>
      </w:r>
    </w:p>
    <w:p w14:paraId="0495E367"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Construction methods.</w:t>
      </w:r>
    </w:p>
    <w:p w14:paraId="0541A5BC"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Outage opportunities or restrictions with other TLRR and SCE projects.</w:t>
      </w:r>
    </w:p>
    <w:p w14:paraId="427FE36E"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Material and procurement efficiency.</w:t>
      </w:r>
    </w:p>
    <w:p w14:paraId="3F44CD66"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Potential of remediating by working on a lower voltage; and</w:t>
      </w:r>
    </w:p>
    <w:p w14:paraId="4D88A51C" w14:textId="77777777" w:rsidR="00DC4366" w:rsidRPr="00D1084B" w:rsidRDefault="00DC4366" w:rsidP="00DC4366">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Aligning scope with other programs and initiatives to minimize redundant work, outage impacts and resource constraints.</w:t>
      </w:r>
    </w:p>
    <w:p w14:paraId="0E3301F6" w14:textId="77777777" w:rsidR="00DC4366" w:rsidRPr="00D1084B" w:rsidRDefault="00DC4366" w:rsidP="00DC4366">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Each project is also reviewed under CPUC GO 131-D, which defines the rules relating to the planning and construction of electric facilities. Some projects fall under the exemptions listed in GO 131-D Section III.B.1, while others require full permitting and become licensing projects. The following corrective actions have been identified for majority of the discrepancies:</w:t>
      </w:r>
    </w:p>
    <w:p w14:paraId="55DEE53A"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Reconductor.</w:t>
      </w:r>
    </w:p>
    <w:p w14:paraId="630CB803"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Structure replacement.</w:t>
      </w:r>
    </w:p>
    <w:p w14:paraId="79FC320A"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Structure raises.</w:t>
      </w:r>
    </w:p>
    <w:p w14:paraId="5B189980"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Retensioning.</w:t>
      </w:r>
    </w:p>
    <w:p w14:paraId="59C5A4AE"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Reframing.</w:t>
      </w:r>
    </w:p>
    <w:p w14:paraId="0E4B979B"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Adding an interset structure.</w:t>
      </w:r>
    </w:p>
    <w:p w14:paraId="0503DA79"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Lowering or relocating sub-transmission or distribution.</w:t>
      </w:r>
    </w:p>
    <w:p w14:paraId="7FE0FA2B"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Grading; or</w:t>
      </w:r>
    </w:p>
    <w:p w14:paraId="74EA35E2" w14:textId="77777777" w:rsidR="00DC4366" w:rsidRPr="00D1084B" w:rsidRDefault="00DC4366" w:rsidP="00DC4366">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Lowering/removing </w:t>
      </w:r>
      <w:proofErr w:type="gramStart"/>
      <w:r w:rsidRPr="00D1084B">
        <w:rPr>
          <w:rFonts w:ascii="Times New Roman" w:eastAsia="Times New Roman" w:hAnsi="Times New Roman" w:cs="Times New Roman"/>
          <w:color w:val="000000" w:themeColor="text1"/>
          <w:sz w:val="26"/>
          <w:szCs w:val="26"/>
        </w:rPr>
        <w:t>object</w:t>
      </w:r>
      <w:proofErr w:type="gramEnd"/>
      <w:r w:rsidRPr="00D1084B">
        <w:rPr>
          <w:rFonts w:ascii="Times New Roman" w:eastAsia="Times New Roman" w:hAnsi="Times New Roman" w:cs="Times New Roman"/>
          <w:color w:val="000000" w:themeColor="text1"/>
          <w:sz w:val="26"/>
          <w:szCs w:val="26"/>
        </w:rPr>
        <w:t xml:space="preserve"> (such as a light pole).</w:t>
      </w:r>
    </w:p>
    <w:p w14:paraId="58221F74" w14:textId="632326A5" w:rsidR="00DC4366" w:rsidRPr="00D1084B" w:rsidRDefault="00DC4366" w:rsidP="006B0137">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7D5DD3">
        <w:rPr>
          <w:rFonts w:ascii="Times New Roman" w:eastAsia="Malgun Gothic" w:hAnsi="Times New Roman" w:cs="Times New Roman"/>
          <w:bCs/>
          <w:color w:val="000000" w:themeColor="text1"/>
          <w:sz w:val="26"/>
          <w:szCs w:val="26"/>
        </w:rPr>
        <w:t>80.143</w:t>
      </w:r>
      <w:r w:rsidRPr="00D1084B">
        <w:rPr>
          <w:rFonts w:ascii="Times New Roman" w:eastAsia="Malgun Gothic" w:hAnsi="Times New Roman" w:cs="Times New Roman"/>
          <w:bCs/>
          <w:color w:val="000000" w:themeColor="text1"/>
          <w:sz w:val="26"/>
          <w:szCs w:val="26"/>
        </w:rPr>
        <w:t xml:space="preserve"> million.</w:t>
      </w:r>
    </w:p>
    <w:p w14:paraId="3C1B3612" w14:textId="77777777" w:rsidR="00D5626C" w:rsidRDefault="00D5626C" w:rsidP="00EE1FB9">
      <w:pPr>
        <w:pStyle w:val="StyleHeading1TextLeft0Hanging025"/>
        <w:ind w:left="0" w:firstLine="0"/>
        <w:rPr>
          <w:color w:val="000000" w:themeColor="text1"/>
          <w:sz w:val="26"/>
          <w:szCs w:val="26"/>
        </w:rPr>
      </w:pPr>
    </w:p>
    <w:p w14:paraId="1AFE7C71" w14:textId="60A1C6F7" w:rsidR="00CE6CD0" w:rsidRPr="00D1084B" w:rsidRDefault="00B2715C" w:rsidP="00CE6CD0">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00CE6CD0" w:rsidRPr="00D1084B">
        <w:rPr>
          <w:rFonts w:ascii="Times New Roman" w:eastAsia="Malgun Gothic" w:hAnsi="Times New Roman" w:cs="Times New Roman"/>
          <w:b/>
          <w:bCs/>
          <w:color w:val="000000" w:themeColor="text1"/>
          <w:sz w:val="26"/>
          <w:szCs w:val="26"/>
        </w:rPr>
        <w:t>Seismic Mitigations for Transmission Assets (PIN: 7392)</w:t>
      </w:r>
    </w:p>
    <w:p w14:paraId="2FF8AA55" w14:textId="77777777" w:rsidR="00CE6CD0" w:rsidRPr="00D1084B" w:rsidRDefault="00CE6CD0" w:rsidP="006B0137">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Seismic Assessment and Mitigation Program, consolidated under SCE’s Business Resiliency activities, is part of a larger, mostly CPUC-funded effort beyond just the FERC dollar request. The broader seismic program centralizes and coordinates across organizational units to assess and perform mitigations as identified to increase safety, infrastructure reliability and maintain regulatory requirements surrounding the occurrence of earthquakes. The primary objectives of the Seismic Assessment and Mitigation Program are to: (1) assess SCE’s electric infrastructure (transmission lines and substations), non-electric facilities, generation, and telecom infrastructure and identify what seismic mitigations are needed, and (2) mitigate risks by making the necessary retrofits and improvements in order to increase reliability and reduce the risk of harm to workers, customers and communities due to a moderate or major earthquake in SCE’s service territory.</w:t>
      </w:r>
    </w:p>
    <w:p w14:paraId="71AB49F4" w14:textId="28EC137A" w:rsidR="00CE6CD0" w:rsidRPr="00D1084B" w:rsidRDefault="00CE6CD0" w:rsidP="101F757E">
      <w:pPr>
        <w:spacing w:after="0" w:line="360" w:lineRule="auto"/>
        <w:ind w:left="720" w:firstLine="720"/>
        <w:rPr>
          <w:rFonts w:ascii="Times New Roman" w:eastAsia="Times New Roman" w:hAnsi="Times New Roman" w:cs="Times New Roman"/>
          <w:color w:val="000000" w:themeColor="text1"/>
          <w:sz w:val="26"/>
          <w:szCs w:val="26"/>
        </w:rPr>
      </w:pPr>
      <w:r w:rsidRPr="101F757E">
        <w:rPr>
          <w:rFonts w:ascii="Times New Roman" w:eastAsia="Times New Roman" w:hAnsi="Times New Roman" w:cs="Times New Roman"/>
          <w:color w:val="000000" w:themeColor="text1"/>
          <w:sz w:val="26"/>
          <w:szCs w:val="26"/>
        </w:rPr>
        <w:t xml:space="preserve">Within this Formula Rate Annual Update, SCE addresses the seismic mitigation activities pertaining to SCE’s transmission system assets, which include both transmission line infrastructure and substation assets. Examples of mitigations for these assets include bracing and anchoring electrical equipment in substations, improving conductor slack, structural work to reinforce building wall to roof connections, and replacing aged equipment with modern equipment designed to withstand greater levels of seismic activity. Other work includes more detailed assessments of significant </w:t>
      </w:r>
      <w:r w:rsidRPr="00804419">
        <w:rPr>
          <w:rFonts w:ascii="Times New Roman" w:eastAsia="Times New Roman" w:hAnsi="Times New Roman" w:cs="Times New Roman"/>
          <w:sz w:val="26"/>
          <w:szCs w:val="26"/>
        </w:rPr>
        <w:t xml:space="preserve">transmission tower </w:t>
      </w:r>
      <w:r w:rsidR="274244DE" w:rsidRPr="00804419">
        <w:rPr>
          <w:rFonts w:ascii="Calibri" w:eastAsia="Calibri" w:hAnsi="Calibri" w:cs="Calibri"/>
        </w:rPr>
        <w:t xml:space="preserve">sites </w:t>
      </w:r>
      <w:r w:rsidRPr="00804419">
        <w:rPr>
          <w:rFonts w:ascii="Times New Roman" w:eastAsia="Times New Roman" w:hAnsi="Times New Roman" w:cs="Times New Roman"/>
          <w:sz w:val="26"/>
          <w:szCs w:val="26"/>
        </w:rPr>
        <w:t xml:space="preserve">along the </w:t>
      </w:r>
      <w:r w:rsidRPr="101F757E">
        <w:rPr>
          <w:rFonts w:ascii="Times New Roman" w:eastAsia="Times New Roman" w:hAnsi="Times New Roman" w:cs="Times New Roman"/>
          <w:color w:val="000000" w:themeColor="text1"/>
          <w:sz w:val="26"/>
          <w:szCs w:val="26"/>
        </w:rPr>
        <w:t>earthquake faults to determine possible landslide risk and mitigate said risk accordingly to ensure system reliability.</w:t>
      </w:r>
    </w:p>
    <w:p w14:paraId="534115FE" w14:textId="77777777" w:rsidR="00CE6CD0" w:rsidRPr="00D1084B" w:rsidRDefault="00CE6CD0" w:rsidP="00CE6CD0">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SCE conducts hazard and vulnerability assessments on its infrastructure </w:t>
      </w:r>
      <w:proofErr w:type="gramStart"/>
      <w:r w:rsidRPr="00D1084B">
        <w:rPr>
          <w:rFonts w:ascii="Times New Roman" w:eastAsia="Times New Roman" w:hAnsi="Times New Roman" w:cs="Times New Roman"/>
          <w:color w:val="000000" w:themeColor="text1"/>
          <w:sz w:val="26"/>
          <w:szCs w:val="26"/>
        </w:rPr>
        <w:t>in order to</w:t>
      </w:r>
      <w:proofErr w:type="gramEnd"/>
      <w:r w:rsidRPr="00D1084B">
        <w:rPr>
          <w:rFonts w:ascii="Times New Roman" w:eastAsia="Times New Roman" w:hAnsi="Times New Roman" w:cs="Times New Roman"/>
          <w:color w:val="000000" w:themeColor="text1"/>
          <w:sz w:val="26"/>
          <w:szCs w:val="26"/>
        </w:rPr>
        <w:t>: (1) understand the seismic exposure and impacts of seismic events, (2) assess the functionality and stability of the existing electrical infrastructure if a seismic event occurred, and (3) identify applicable design standards and codes. Assessments utilize a combination of site surveys, seismic modeling, and geographic information systems.</w:t>
      </w:r>
    </w:p>
    <w:p w14:paraId="02F590F6" w14:textId="77777777" w:rsidR="00CE6CD0" w:rsidRPr="00D1084B" w:rsidRDefault="00CE6CD0" w:rsidP="00CE6CD0">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b/>
        <w:t>Seismic mitigations are prioritized with a focus on keeping people safe and minimizing interruptions in electric service. Projects with the highest safety, reliability, and compliance impact will be executed first. This includes populated buildings as well as transmission, distribution, generation, and telecom infrastructure critical to maintaining business continuity and operational reliability.  As mentioned in the criteria above, reviewing the data against the United States Geological Survey’s probabilistic scenarios informs the prioritization of transmission infrastructure in terms of imminent failure should moderate to high seismic activity occur. In addition to the prioritization method used, some projects may be escalated to bundle work for cost efficiency purposes and to minimize outages. Projects related to high-hazards dams with pending FERC reviews will be prioritized accordingly.</w:t>
      </w:r>
    </w:p>
    <w:p w14:paraId="21C6DF1F" w14:textId="66F3905D" w:rsidR="00CE6CD0" w:rsidRPr="00D1084B" w:rsidRDefault="00CE6CD0" w:rsidP="00CE6CD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$20.</w:t>
      </w:r>
      <w:r>
        <w:rPr>
          <w:rFonts w:ascii="Times New Roman" w:eastAsia="Malgun Gothic" w:hAnsi="Times New Roman" w:cs="Times New Roman"/>
          <w:bCs/>
          <w:color w:val="000000" w:themeColor="text1"/>
          <w:sz w:val="26"/>
          <w:szCs w:val="26"/>
        </w:rPr>
        <w:t>722</w:t>
      </w:r>
      <w:r w:rsidRPr="00D1084B">
        <w:rPr>
          <w:rFonts w:ascii="Times New Roman" w:eastAsia="Malgun Gothic" w:hAnsi="Times New Roman" w:cs="Times New Roman"/>
          <w:bCs/>
          <w:color w:val="000000" w:themeColor="text1"/>
          <w:sz w:val="26"/>
          <w:szCs w:val="26"/>
        </w:rPr>
        <w:t xml:space="preserve"> million.</w:t>
      </w:r>
    </w:p>
    <w:p w14:paraId="56C692E7" w14:textId="77777777" w:rsidR="00CE6CD0" w:rsidRDefault="00CE6CD0" w:rsidP="00EE1FB9">
      <w:pPr>
        <w:pStyle w:val="StyleHeading1TextLeft0Hanging025"/>
        <w:ind w:left="0" w:firstLine="0"/>
        <w:rPr>
          <w:color w:val="000000" w:themeColor="text1"/>
          <w:sz w:val="26"/>
          <w:szCs w:val="26"/>
        </w:rPr>
      </w:pPr>
    </w:p>
    <w:p w14:paraId="090DA8AB" w14:textId="687EB990" w:rsidR="00590656" w:rsidRPr="00D1084B" w:rsidRDefault="00B2715C" w:rsidP="00590656">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00590656" w:rsidRPr="00D1084B">
        <w:rPr>
          <w:rFonts w:ascii="Times New Roman" w:eastAsia="Malgun Gothic" w:hAnsi="Times New Roman" w:cs="Times New Roman"/>
          <w:b/>
          <w:bCs/>
          <w:color w:val="000000" w:themeColor="text1"/>
          <w:sz w:val="26"/>
          <w:szCs w:val="26"/>
        </w:rPr>
        <w:t>Substation Facility Capital Maintenance (PIN: 7637)</w:t>
      </w:r>
    </w:p>
    <w:p w14:paraId="6C0C53CD" w14:textId="77777777" w:rsidR="00590656" w:rsidRPr="00D1084B" w:rsidRDefault="00590656" w:rsidP="006B013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possible and proper asset management requires a proactive capital maintenance program to repair or replace building systems and components that are damaged, degraded, non-operational, non-compliant, or have reached their end of useful life.  </w:t>
      </w:r>
    </w:p>
    <w:p w14:paraId="2FF7DBB5" w14:textId="77777777" w:rsidR="00590656" w:rsidRPr="00D1084B" w:rsidRDefault="00590656" w:rsidP="0059065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SCE uses Asset Management Methodology, to prioritize capital projects and program expenditures to support SCE’s objectives to provide safe, reliable, and affordable electricity to its customers.  One of the three main influencing factors under Asset Management Methodology </w:t>
      </w:r>
      <w:r w:rsidRPr="00D1084B">
        <w:rPr>
          <w:rFonts w:ascii="Times New Roman" w:eastAsia="Malgun Gothic" w:hAnsi="Times New Roman" w:cs="Times New Roman"/>
          <w:bCs/>
          <w:color w:val="000000" w:themeColor="text1"/>
          <w:sz w:val="26"/>
          <w:szCs w:val="26"/>
        </w:rPr>
        <w:lastRenderedPageBreak/>
        <w:t xml:space="preserve">is Facility Condition Index (FCI) that assesses conditions (e.g., age and wear of the building and its systems) and compares the cost to improve them against the cost to replace the building or site.  The FCI score, expressed as a percentage, is the ratio of the cost of correcting identified deficiencies to the replacement cost for the facility </w:t>
      </w:r>
      <w:proofErr w:type="gramStart"/>
      <w:r w:rsidRPr="00D1084B">
        <w:rPr>
          <w:rFonts w:ascii="Times New Roman" w:eastAsia="Malgun Gothic" w:hAnsi="Times New Roman" w:cs="Times New Roman"/>
          <w:bCs/>
          <w:color w:val="000000" w:themeColor="text1"/>
          <w:sz w:val="26"/>
          <w:szCs w:val="26"/>
        </w:rPr>
        <w:t>in whole</w:t>
      </w:r>
      <w:proofErr w:type="gramEnd"/>
      <w:r w:rsidRPr="00D1084B">
        <w:rPr>
          <w:rFonts w:ascii="Times New Roman" w:eastAsia="Malgun Gothic" w:hAnsi="Times New Roman" w:cs="Times New Roman"/>
          <w:bCs/>
          <w:color w:val="000000" w:themeColor="text1"/>
          <w:sz w:val="26"/>
          <w:szCs w:val="26"/>
        </w:rPr>
        <w:t>.  A low FCI score is more desirable than a high one.  To be more specific, the FCI Score of 0-5.0% translates into Good; 5.1%-10.0% into Fair; 10.1%-29.9% into Poor; and &gt;30% into Critical overall condition characterization.   SCE’s portfolio FCI score has improved from 23% (Poor condition) in 2013 to 16% in 2016 - improved, but still in overall Poor condition and, therefore require ongoing capital maintenance. It would not be prudent to replace all aged facilities, for a variety of reasons.  FCI is one indicator used by SCE in prioritizing investments.  Other conditions and influencing factors must also be considered, as discussed below.</w:t>
      </w:r>
    </w:p>
    <w:p w14:paraId="52B46886" w14:textId="77777777" w:rsidR="00590656" w:rsidRPr="00D1084B" w:rsidRDefault="00590656" w:rsidP="0059065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Asset Priority Index (API) rates the relative importance of a facility among the network of facilities required to serve SCE’s customer base.  A facility’s API is used to define a facility’s importance in meeting SCE’s strategic business intent and operational performance.  Periodically, SCE’s Corporate Real Estate (CRE) department consults with SCE leadership from across OUs to rank SCE’s facilities. A site is prioritized by its importance and criticality to delivering safe and reliable services. A lower API ranking (i.e., number) indicates a higher priority.  An API ranking of three shows a highly needed and important facility, as 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w:t>
      </w:r>
      <w:proofErr w:type="gramStart"/>
      <w:r w:rsidRPr="00D1084B">
        <w:rPr>
          <w:rFonts w:ascii="Times New Roman" w:eastAsia="Malgun Gothic" w:hAnsi="Times New Roman" w:cs="Times New Roman"/>
          <w:bCs/>
          <w:color w:val="000000" w:themeColor="text1"/>
          <w:sz w:val="26"/>
          <w:szCs w:val="26"/>
        </w:rPr>
        <w:t>as a way to</w:t>
      </w:r>
      <w:proofErr w:type="gramEnd"/>
      <w:r w:rsidRPr="00D1084B">
        <w:rPr>
          <w:rFonts w:ascii="Times New Roman" w:eastAsia="Malgun Gothic" w:hAnsi="Times New Roman" w:cs="Times New Roman"/>
          <w:bCs/>
          <w:color w:val="000000" w:themeColor="text1"/>
          <w:sz w:val="26"/>
          <w:szCs w:val="26"/>
        </w:rPr>
        <w:t xml:space="preserve">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6E1AB83D" w14:textId="77777777" w:rsidR="00590656" w:rsidRPr="00D1084B" w:rsidRDefault="00590656" w:rsidP="00590656">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w:t>
      </w:r>
      <w:r w:rsidRPr="00D1084B">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121AFB04" w14:textId="77777777" w:rsidR="00590656" w:rsidRPr="00D1084B" w:rsidRDefault="00590656" w:rsidP="00590656">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 xml:space="preserve">Regulations, such as building codes that cannot be achieved in old </w:t>
      </w:r>
      <w:proofErr w:type="gramStart"/>
      <w:r w:rsidRPr="00D1084B">
        <w:rPr>
          <w:rFonts w:ascii="Times New Roman" w:eastAsia="Malgun Gothic" w:hAnsi="Times New Roman" w:cs="Times New Roman"/>
          <w:bCs/>
          <w:color w:val="000000" w:themeColor="text1"/>
          <w:sz w:val="26"/>
          <w:szCs w:val="26"/>
        </w:rPr>
        <w:t>building</w:t>
      </w:r>
      <w:proofErr w:type="gramEnd"/>
      <w:r w:rsidRPr="00D1084B">
        <w:rPr>
          <w:rFonts w:ascii="Times New Roman" w:eastAsia="Malgun Gothic" w:hAnsi="Times New Roman" w:cs="Times New Roman"/>
          <w:bCs/>
          <w:color w:val="000000" w:themeColor="text1"/>
          <w:sz w:val="26"/>
          <w:szCs w:val="26"/>
        </w:rPr>
        <w:t xml:space="preserve"> or site designs, that pre-dated such regulations, and which conditions have become an increasing concern for safety and operational reliability.</w:t>
      </w:r>
    </w:p>
    <w:p w14:paraId="301C8FDC" w14:textId="77777777" w:rsidR="00590656" w:rsidRPr="00D1084B" w:rsidRDefault="00590656" w:rsidP="00590656">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The current capacity and utilization of buildings or sites (e.g., of parking, office spaces, etc.) versus the forecast growth or contraction and the ability for the facility, to best support the change.</w:t>
      </w:r>
    </w:p>
    <w:p w14:paraId="52C7C8BB" w14:textId="77777777" w:rsidR="00590656" w:rsidRPr="00D1084B" w:rsidRDefault="00590656" w:rsidP="00590656">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The ability to consolidate or co-locate functions or uses, to continue to use facilities to their highest and best use or to promote better collaborative work environments.</w:t>
      </w:r>
    </w:p>
    <w:p w14:paraId="556C97A8" w14:textId="77777777" w:rsidR="00590656" w:rsidRPr="00D1084B" w:rsidRDefault="00590656" w:rsidP="0059065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forecast for substation capital maintenance is a combination of historical expenditures and a zero-based budget, considering fluctuations in the maintenance activity.  The forecasted level of </w:t>
      </w:r>
      <w:proofErr w:type="gramStart"/>
      <w:r w:rsidRPr="00D1084B">
        <w:rPr>
          <w:rFonts w:ascii="Times New Roman" w:eastAsia="Malgun Gothic" w:hAnsi="Times New Roman" w:cs="Times New Roman"/>
          <w:bCs/>
          <w:color w:val="000000" w:themeColor="text1"/>
          <w:sz w:val="26"/>
          <w:szCs w:val="26"/>
        </w:rPr>
        <w:t>spend</w:t>
      </w:r>
      <w:proofErr w:type="gramEnd"/>
      <w:r w:rsidRPr="00D1084B">
        <w:rPr>
          <w:rFonts w:ascii="Times New Roman" w:eastAsia="Malgun Gothic" w:hAnsi="Times New Roman" w:cs="Times New Roman"/>
          <w:bCs/>
          <w:color w:val="000000" w:themeColor="text1"/>
          <w:sz w:val="26"/>
          <w:szCs w:val="26"/>
        </w:rPr>
        <w:t xml:space="preserve"> is needed for proper preventative maintenance to mitigate negative impacts from any deferred maintenance, including costly repairs and replacements. </w:t>
      </w:r>
    </w:p>
    <w:p w14:paraId="4202ED2F" w14:textId="4E2EC666" w:rsidR="00590656" w:rsidRPr="00D1084B" w:rsidRDefault="00590656" w:rsidP="0059065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Pr>
          <w:rFonts w:ascii="Times New Roman" w:eastAsia="Malgun Gothic" w:hAnsi="Times New Roman" w:cs="Times New Roman"/>
          <w:bCs/>
          <w:color w:val="000000" w:themeColor="text1"/>
          <w:sz w:val="26"/>
          <w:szCs w:val="26"/>
        </w:rPr>
        <w:t>9.377</w:t>
      </w:r>
      <w:r w:rsidRPr="00D1084B">
        <w:rPr>
          <w:rFonts w:ascii="Times New Roman" w:eastAsia="Malgun Gothic" w:hAnsi="Times New Roman" w:cs="Times New Roman"/>
          <w:bCs/>
          <w:color w:val="000000" w:themeColor="text1"/>
          <w:sz w:val="26"/>
          <w:szCs w:val="26"/>
        </w:rPr>
        <w:t xml:space="preserve"> million.</w:t>
      </w:r>
    </w:p>
    <w:p w14:paraId="52A4A750" w14:textId="77777777" w:rsidR="00D5626C" w:rsidRDefault="00D5626C" w:rsidP="00EE1FB9">
      <w:pPr>
        <w:pStyle w:val="StyleHeading1TextLeft0Hanging025"/>
        <w:ind w:left="0" w:firstLine="0"/>
        <w:rPr>
          <w:color w:val="000000" w:themeColor="text1"/>
          <w:sz w:val="26"/>
          <w:szCs w:val="26"/>
        </w:rPr>
      </w:pPr>
    </w:p>
    <w:p w14:paraId="0F0E8C08" w14:textId="29E24506" w:rsidR="007549DB" w:rsidRPr="00D1084B" w:rsidRDefault="00B2715C" w:rsidP="007549DB">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007549DB" w:rsidRPr="00D1084B">
        <w:rPr>
          <w:rFonts w:ascii="Times New Roman" w:eastAsia="Malgun Gothic" w:hAnsi="Times New Roman" w:cs="Times New Roman"/>
          <w:b/>
          <w:bCs/>
          <w:color w:val="000000" w:themeColor="text1"/>
          <w:sz w:val="26"/>
          <w:szCs w:val="26"/>
        </w:rPr>
        <w:t>Substation Switchrack Rebuilds (PIN: 7713)</w:t>
      </w:r>
    </w:p>
    <w:p w14:paraId="3C1EC06F" w14:textId="77777777" w:rsidR="007549DB" w:rsidRPr="00D1084B" w:rsidRDefault="007549DB" w:rsidP="006B013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Substation Switchrack Rebuilds activity captures the capital expenditures related to rebuilding existing substation racks based on conditions found in the field, as well as through various analyses including structural and seismic analysis. A substation switchrack is the skeletal/structural system used to support substation assets such as circuit breakers, disconnects, and conductors. Substation structures degrade over time and need to be replaced and/or upgraded. The switchracks/structure needs are initially identified at the scoping job walk, </w:t>
      </w:r>
      <w:r w:rsidRPr="00D1084B">
        <w:rPr>
          <w:rFonts w:ascii="Times New Roman" w:eastAsia="Malgun Gothic" w:hAnsi="Times New Roman" w:cs="Times New Roman"/>
          <w:bCs/>
          <w:color w:val="000000" w:themeColor="text1"/>
          <w:sz w:val="26"/>
          <w:szCs w:val="26"/>
        </w:rPr>
        <w:lastRenderedPageBreak/>
        <w:t>typically driven by the circuit breaker and transformer replacement, and in some cases disconnect switch replacements.</w:t>
      </w:r>
    </w:p>
    <w:p w14:paraId="02C93EA4" w14:textId="77777777" w:rsidR="007549DB" w:rsidRPr="00D1084B" w:rsidRDefault="007549DB" w:rsidP="007549DB">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At the scoping job walk the field personnel (operations, construction, maintenance, etc.) and engineering personnel evaluate and determine the project scope. These workers evaluate the condition of foundations, equipment, structures, and working areas/to identify the need to potentially perform a switchrack rebuild project. Prior to pursuing a rebuild project, SCE also considers other potential solutions including, but not limited to, deferring a project, modifying a switchrack (i.e., structural modification in place or additional grading beneath a switchrack structure), and/or increasing maintenance activity for the circuit breakers and/or transformers.</w:t>
      </w:r>
    </w:p>
    <w:p w14:paraId="7D74C4A9" w14:textId="77777777" w:rsidR="007549DB" w:rsidRPr="00D1084B" w:rsidRDefault="007549DB" w:rsidP="007549DB">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Switchrack rebuild projects result from the need to replace substation circuit breaker. SCE estimates the costs for each project based on the unique characteristics of each project, and not by using an average cost per project approach. This is because, unlike like-for like replacements of circuit breakers and transformers, switchrack rebuild projects can vary and have unique site-specific challenges, including voltage class, geographic location, property size and footprint, non-SCE original construction, modification of construction standards, local city regulations, space constraints for construction, maintaining service during construction, etc. As a result, using an average cost per project forecast is not meaningful.</w:t>
      </w:r>
    </w:p>
    <w:p w14:paraId="03A97240" w14:textId="0DC47A48" w:rsidR="007549DB" w:rsidRPr="00D1084B" w:rsidRDefault="007A1EA1" w:rsidP="007549DB">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estimated ISO-related direct capital expenditures that are projected to go into rate base during this period are </w:t>
      </w:r>
      <w:r w:rsidR="007549DB" w:rsidRPr="00D1084B">
        <w:rPr>
          <w:rFonts w:ascii="Times New Roman" w:eastAsia="Malgun Gothic" w:hAnsi="Times New Roman" w:cs="Times New Roman"/>
          <w:bCs/>
          <w:color w:val="000000" w:themeColor="text1"/>
          <w:sz w:val="26"/>
          <w:szCs w:val="26"/>
        </w:rPr>
        <w:t>$</w:t>
      </w:r>
      <w:r w:rsidR="007549DB">
        <w:rPr>
          <w:rFonts w:ascii="Times New Roman" w:eastAsia="Malgun Gothic" w:hAnsi="Times New Roman" w:cs="Times New Roman"/>
          <w:bCs/>
          <w:color w:val="000000" w:themeColor="text1"/>
          <w:sz w:val="26"/>
          <w:szCs w:val="26"/>
        </w:rPr>
        <w:t>9.599</w:t>
      </w:r>
      <w:r w:rsidR="007549DB" w:rsidRPr="00D1084B">
        <w:rPr>
          <w:rFonts w:ascii="Times New Roman" w:eastAsia="Malgun Gothic" w:hAnsi="Times New Roman" w:cs="Times New Roman"/>
          <w:bCs/>
          <w:color w:val="000000" w:themeColor="text1"/>
          <w:sz w:val="26"/>
          <w:szCs w:val="26"/>
        </w:rPr>
        <w:t xml:space="preserve"> million.</w:t>
      </w:r>
    </w:p>
    <w:p w14:paraId="2ED6093B" w14:textId="77777777" w:rsidR="00D5626C" w:rsidRDefault="00D5626C" w:rsidP="00EE1FB9">
      <w:pPr>
        <w:pStyle w:val="StyleHeading1TextLeft0Hanging025"/>
        <w:ind w:left="0" w:firstLine="0"/>
        <w:rPr>
          <w:color w:val="000000" w:themeColor="text1"/>
          <w:sz w:val="26"/>
          <w:szCs w:val="26"/>
        </w:rPr>
      </w:pPr>
    </w:p>
    <w:p w14:paraId="4D6A2717" w14:textId="5BAA288B" w:rsidR="00B90F30" w:rsidRPr="00D1084B" w:rsidRDefault="00B2715C" w:rsidP="00B90F30">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00B90F30" w:rsidRPr="00D1084B">
        <w:rPr>
          <w:rFonts w:ascii="Times New Roman" w:eastAsia="Malgun Gothic" w:hAnsi="Times New Roman" w:cs="Times New Roman"/>
          <w:b/>
          <w:bCs/>
          <w:color w:val="000000" w:themeColor="text1"/>
          <w:sz w:val="26"/>
          <w:szCs w:val="26"/>
        </w:rPr>
        <w:t>Protection of Grid Infrastructure Assets (PIN: 7949)</w:t>
      </w:r>
    </w:p>
    <w:p w14:paraId="7C6A74B8" w14:textId="77777777" w:rsidR="00B90F30" w:rsidRPr="00D1084B" w:rsidRDefault="00B90F30" w:rsidP="006B013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Protection of Grid Infrastructure Assets program (previously known as the Physical Security Systems – Electric Facilities Blanket) deploys and standardizes new security systems at SCE and corrects identified deficiencies with access control and monitoring of SCE entry/exit points, critical areas, and critical assets. Each year, Corporate Security reviews emerging threats and security vulnerabilities to develop a prioritized list of electrical facilities designated for security system installations or security systems refresh and enhancements for the next year. </w:t>
      </w:r>
      <w:r w:rsidRPr="00D1084B">
        <w:rPr>
          <w:rFonts w:ascii="Times New Roman" w:eastAsia="Malgun Gothic" w:hAnsi="Times New Roman" w:cs="Times New Roman"/>
          <w:bCs/>
          <w:color w:val="000000" w:themeColor="text1"/>
          <w:sz w:val="26"/>
          <w:szCs w:val="26"/>
        </w:rPr>
        <w:lastRenderedPageBreak/>
        <w:t xml:space="preserve">Electrical facilities requiring a new security system or security system component will undergo a structured process to identify specific physical security needs and to develop a system design incorporating SCE security standards, installation and integration with the Edison Security Operations Center (ESOC), and personnel training and awareness. Each deployed security system will be standardized to improve management of replacement assets, lower and standardize maintenance costs, and </w:t>
      </w:r>
      <w:proofErr w:type="gramStart"/>
      <w:r w:rsidRPr="00D1084B">
        <w:rPr>
          <w:rFonts w:ascii="Times New Roman" w:eastAsia="Malgun Gothic" w:hAnsi="Times New Roman" w:cs="Times New Roman"/>
          <w:bCs/>
          <w:color w:val="000000" w:themeColor="text1"/>
          <w:sz w:val="26"/>
          <w:szCs w:val="26"/>
        </w:rPr>
        <w:t>provide for</w:t>
      </w:r>
      <w:proofErr w:type="gramEnd"/>
      <w:r w:rsidRPr="00D1084B">
        <w:rPr>
          <w:rFonts w:ascii="Times New Roman" w:eastAsia="Malgun Gothic" w:hAnsi="Times New Roman" w:cs="Times New Roman"/>
          <w:bCs/>
          <w:color w:val="000000" w:themeColor="text1"/>
          <w:sz w:val="26"/>
          <w:szCs w:val="26"/>
        </w:rPr>
        <w:t xml:space="preserve"> consistent refresh cycles of security technology components. </w:t>
      </w:r>
    </w:p>
    <w:p w14:paraId="575BFDE8" w14:textId="29D54D58" w:rsidR="008645F0" w:rsidRPr="00D1084B" w:rsidRDefault="00B90F30" w:rsidP="00B90F30">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To maintain the operation of existing alarms, access controls, and security systems at SCE, Corporate Security will first identify which facilities have security systems that are operating at a less than optional performance level. Corporate Security will evaluate each security system to be enhanced or refreshed considering current operations, how the site is being utilized, types of assets requiring protection, access controls for population and types of persons at the site, and the required protections associated with the refresh/enhancement</w:t>
      </w:r>
      <w:r w:rsidR="008645F0">
        <w:rPr>
          <w:rFonts w:ascii="Times New Roman" w:eastAsia="Malgun Gothic" w:hAnsi="Times New Roman" w:cs="Times New Roman"/>
          <w:bCs/>
          <w:color w:val="000000" w:themeColor="text1"/>
          <w:sz w:val="26"/>
          <w:szCs w:val="26"/>
        </w:rPr>
        <w:t>.</w:t>
      </w:r>
    </w:p>
    <w:p w14:paraId="6DAF2612" w14:textId="484B1C70" w:rsidR="25D6562D" w:rsidRDefault="6E799BEC" w:rsidP="008645F0">
      <w:pPr>
        <w:spacing w:after="0" w:line="360" w:lineRule="auto"/>
        <w:ind w:left="720" w:firstLine="720"/>
        <w:contextualSpacing/>
        <w:rPr>
          <w:rFonts w:ascii="Times New Roman" w:eastAsia="Malgun Gothic" w:hAnsi="Times New Roman" w:cs="Times New Roman"/>
          <w:color w:val="000000" w:themeColor="text1"/>
          <w:sz w:val="26"/>
          <w:szCs w:val="26"/>
        </w:rPr>
      </w:pPr>
      <w:r w:rsidRPr="5A82BEC2">
        <w:rPr>
          <w:rFonts w:ascii="Times New Roman" w:eastAsia="Malgun Gothic" w:hAnsi="Times New Roman" w:cs="Times New Roman"/>
          <w:color w:val="000000" w:themeColor="text1"/>
          <w:sz w:val="26"/>
          <w:szCs w:val="26"/>
        </w:rPr>
        <w:t xml:space="preserve">Since the completion of NERC CIP-014 Tier 1, the focus has shifted towards the subsequent Tiers starting with Tier 2 </w:t>
      </w:r>
      <w:r w:rsidR="3062E7BD" w:rsidRPr="5A82BEC2">
        <w:rPr>
          <w:rFonts w:ascii="Times New Roman" w:eastAsia="Malgun Gothic" w:hAnsi="Times New Roman" w:cs="Times New Roman"/>
          <w:color w:val="000000" w:themeColor="text1"/>
          <w:sz w:val="26"/>
          <w:szCs w:val="26"/>
        </w:rPr>
        <w:t xml:space="preserve">&amp; 3 </w:t>
      </w:r>
      <w:r w:rsidRPr="5A82BEC2">
        <w:rPr>
          <w:rFonts w:ascii="Times New Roman" w:eastAsia="Malgun Gothic" w:hAnsi="Times New Roman" w:cs="Times New Roman"/>
          <w:color w:val="000000" w:themeColor="text1"/>
          <w:sz w:val="26"/>
          <w:szCs w:val="26"/>
        </w:rPr>
        <w:t>si</w:t>
      </w:r>
      <w:r w:rsidR="401C4DFC" w:rsidRPr="5A82BEC2">
        <w:rPr>
          <w:rFonts w:ascii="Times New Roman" w:eastAsia="Malgun Gothic" w:hAnsi="Times New Roman" w:cs="Times New Roman"/>
          <w:color w:val="000000" w:themeColor="text1"/>
          <w:sz w:val="26"/>
          <w:szCs w:val="26"/>
        </w:rPr>
        <w:t>tes</w:t>
      </w:r>
      <w:r w:rsidR="75A06048" w:rsidRPr="5A82BEC2">
        <w:rPr>
          <w:rFonts w:ascii="Times New Roman" w:eastAsia="Malgun Gothic" w:hAnsi="Times New Roman" w:cs="Times New Roman"/>
          <w:color w:val="000000" w:themeColor="text1"/>
          <w:sz w:val="26"/>
          <w:szCs w:val="26"/>
        </w:rPr>
        <w:t xml:space="preserve"> concurrently. </w:t>
      </w:r>
      <w:r w:rsidR="45ADCCC1" w:rsidRPr="5A82BEC2">
        <w:rPr>
          <w:rFonts w:ascii="Times New Roman" w:eastAsia="Malgun Gothic" w:hAnsi="Times New Roman" w:cs="Times New Roman"/>
          <w:color w:val="000000" w:themeColor="text1"/>
          <w:sz w:val="26"/>
          <w:szCs w:val="26"/>
        </w:rPr>
        <w:t xml:space="preserve">The Tier Program supports the efforts of providing safe and reliable service to our customers by improving the protection of critical assets, buildings, and people around </w:t>
      </w:r>
      <w:r w:rsidR="008EA697" w:rsidRPr="5A82BEC2">
        <w:rPr>
          <w:rFonts w:ascii="Times New Roman" w:eastAsia="Malgun Gothic" w:hAnsi="Times New Roman" w:cs="Times New Roman"/>
          <w:color w:val="000000" w:themeColor="text1"/>
          <w:sz w:val="26"/>
          <w:szCs w:val="26"/>
        </w:rPr>
        <w:t xml:space="preserve">electric facilities. </w:t>
      </w:r>
      <w:r w:rsidR="75A06048" w:rsidRPr="5A82BEC2">
        <w:rPr>
          <w:rFonts w:ascii="Times New Roman" w:eastAsia="Malgun Gothic" w:hAnsi="Times New Roman" w:cs="Times New Roman"/>
          <w:color w:val="000000" w:themeColor="text1"/>
          <w:sz w:val="26"/>
          <w:szCs w:val="26"/>
        </w:rPr>
        <w:t>Performing security enhancement</w:t>
      </w:r>
      <w:r w:rsidR="06A0C5E9" w:rsidRPr="5A82BEC2">
        <w:rPr>
          <w:rFonts w:ascii="Times New Roman" w:eastAsia="Malgun Gothic" w:hAnsi="Times New Roman" w:cs="Times New Roman"/>
          <w:color w:val="000000" w:themeColor="text1"/>
          <w:sz w:val="26"/>
          <w:szCs w:val="26"/>
        </w:rPr>
        <w:t>s</w:t>
      </w:r>
      <w:r w:rsidR="7AA8770E" w:rsidRPr="5A82BEC2">
        <w:rPr>
          <w:rFonts w:ascii="Times New Roman" w:eastAsia="Malgun Gothic" w:hAnsi="Times New Roman" w:cs="Times New Roman"/>
          <w:color w:val="000000" w:themeColor="text1"/>
          <w:sz w:val="26"/>
          <w:szCs w:val="26"/>
        </w:rPr>
        <w:t xml:space="preserve"> based on risk</w:t>
      </w:r>
      <w:r w:rsidR="76C2E62A" w:rsidRPr="5A82BEC2">
        <w:rPr>
          <w:rFonts w:ascii="Times New Roman" w:eastAsia="Malgun Gothic" w:hAnsi="Times New Roman" w:cs="Times New Roman"/>
          <w:color w:val="000000" w:themeColor="text1"/>
          <w:sz w:val="26"/>
          <w:szCs w:val="26"/>
        </w:rPr>
        <w:t xml:space="preserve"> such as perimeter intrusion detection, integrated access control, alarm management, video surveillance, and </w:t>
      </w:r>
      <w:r w:rsidR="204E77C7" w:rsidRPr="5A82BEC2">
        <w:rPr>
          <w:rFonts w:ascii="Times New Roman" w:eastAsia="Malgun Gothic" w:hAnsi="Times New Roman" w:cs="Times New Roman"/>
          <w:color w:val="000000" w:themeColor="text1"/>
          <w:sz w:val="26"/>
          <w:szCs w:val="26"/>
        </w:rPr>
        <w:t>radar</w:t>
      </w:r>
      <w:r w:rsidR="76C2E62A" w:rsidRPr="5A82BEC2">
        <w:rPr>
          <w:rFonts w:ascii="Times New Roman" w:eastAsia="Malgun Gothic" w:hAnsi="Times New Roman" w:cs="Times New Roman"/>
          <w:color w:val="000000" w:themeColor="text1"/>
          <w:sz w:val="26"/>
          <w:szCs w:val="26"/>
        </w:rPr>
        <w:t>.</w:t>
      </w:r>
      <w:r w:rsidR="06A0C5E9" w:rsidRPr="5A82BEC2">
        <w:rPr>
          <w:rFonts w:ascii="Times New Roman" w:eastAsia="Malgun Gothic" w:hAnsi="Times New Roman" w:cs="Times New Roman"/>
          <w:color w:val="000000" w:themeColor="text1"/>
          <w:sz w:val="26"/>
          <w:szCs w:val="26"/>
        </w:rPr>
        <w:t xml:space="preserve"> </w:t>
      </w:r>
      <w:r w:rsidR="65307350" w:rsidRPr="5A82BEC2">
        <w:rPr>
          <w:rFonts w:ascii="Times New Roman" w:eastAsia="Malgun Gothic" w:hAnsi="Times New Roman" w:cs="Times New Roman"/>
          <w:color w:val="000000" w:themeColor="text1"/>
          <w:sz w:val="26"/>
          <w:szCs w:val="26"/>
        </w:rPr>
        <w:t>The Tier Program is an ongoing program where electric facilities are assessed yearly</w:t>
      </w:r>
      <w:r w:rsidR="401C4DFC" w:rsidRPr="5A82BEC2">
        <w:rPr>
          <w:rFonts w:ascii="Times New Roman" w:eastAsia="Malgun Gothic" w:hAnsi="Times New Roman" w:cs="Times New Roman"/>
          <w:color w:val="000000" w:themeColor="text1"/>
          <w:sz w:val="26"/>
          <w:szCs w:val="26"/>
        </w:rPr>
        <w:t>.</w:t>
      </w:r>
    </w:p>
    <w:p w14:paraId="1AC328C2" w14:textId="3787DAE7" w:rsidR="00B90F30" w:rsidRPr="00D1084B" w:rsidRDefault="00B90F30" w:rsidP="00B90F30">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$2</w:t>
      </w:r>
      <w:r w:rsidR="00A94930">
        <w:rPr>
          <w:rFonts w:ascii="Times New Roman" w:eastAsia="Malgun Gothic" w:hAnsi="Times New Roman" w:cs="Times New Roman"/>
          <w:bCs/>
          <w:color w:val="000000" w:themeColor="text1"/>
          <w:sz w:val="26"/>
          <w:szCs w:val="26"/>
        </w:rPr>
        <w:t>5.911</w:t>
      </w:r>
      <w:r w:rsidRPr="00D1084B">
        <w:rPr>
          <w:rFonts w:ascii="Times New Roman" w:eastAsia="Malgun Gothic" w:hAnsi="Times New Roman" w:cs="Times New Roman"/>
          <w:bCs/>
          <w:color w:val="000000" w:themeColor="text1"/>
          <w:sz w:val="26"/>
          <w:szCs w:val="26"/>
        </w:rPr>
        <w:t xml:space="preserve"> million.</w:t>
      </w:r>
    </w:p>
    <w:p w14:paraId="27506263" w14:textId="77777777" w:rsidR="00D5626C" w:rsidRDefault="00D5626C" w:rsidP="00EE1FB9">
      <w:pPr>
        <w:pStyle w:val="StyleHeading1TextLeft0Hanging025"/>
        <w:ind w:left="0" w:firstLine="0"/>
        <w:rPr>
          <w:color w:val="000000" w:themeColor="text1"/>
          <w:sz w:val="26"/>
          <w:szCs w:val="26"/>
        </w:rPr>
      </w:pPr>
    </w:p>
    <w:p w14:paraId="567BB2C3" w14:textId="1CC79BA2" w:rsidR="00B2715C" w:rsidRPr="00D1084B" w:rsidRDefault="00B2715C" w:rsidP="00B2715C">
      <w:pPr>
        <w:pStyle w:val="ListParagraph"/>
        <w:numPr>
          <w:ilvl w:val="0"/>
          <w:numId w:val="2"/>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B2715C">
        <w:rPr>
          <w:rFonts w:ascii="Times New Roman" w:eastAsia="Malgun Gothic" w:hAnsi="Times New Roman" w:cs="Times New Roman"/>
          <w:b/>
          <w:bCs/>
          <w:color w:val="000000" w:themeColor="text1"/>
          <w:sz w:val="26"/>
          <w:szCs w:val="26"/>
        </w:rPr>
        <w:t xml:space="preserve">Pardee-Pastoria 220kV: Re-conductor (San Joaquin &amp; North Coast) </w:t>
      </w:r>
      <w:r w:rsidRPr="00D1084B">
        <w:rPr>
          <w:rFonts w:ascii="Times New Roman" w:eastAsia="Malgun Gothic" w:hAnsi="Times New Roman" w:cs="Times New Roman"/>
          <w:b/>
          <w:bCs/>
          <w:color w:val="000000" w:themeColor="text1"/>
          <w:sz w:val="26"/>
          <w:szCs w:val="26"/>
        </w:rPr>
        <w:t xml:space="preserve">(PIN: </w:t>
      </w:r>
      <w:r w:rsidR="007365BE">
        <w:rPr>
          <w:rFonts w:ascii="Times New Roman" w:eastAsia="Malgun Gothic" w:hAnsi="Times New Roman" w:cs="Times New Roman"/>
          <w:b/>
          <w:bCs/>
          <w:color w:val="000000" w:themeColor="text1"/>
          <w:sz w:val="26"/>
          <w:szCs w:val="26"/>
        </w:rPr>
        <w:t>7890</w:t>
      </w:r>
      <w:r w:rsidRPr="00D1084B">
        <w:rPr>
          <w:rFonts w:ascii="Times New Roman" w:eastAsia="Malgun Gothic" w:hAnsi="Times New Roman" w:cs="Times New Roman"/>
          <w:b/>
          <w:bCs/>
          <w:color w:val="000000" w:themeColor="text1"/>
          <w:sz w:val="26"/>
          <w:szCs w:val="26"/>
        </w:rPr>
        <w:t>)</w:t>
      </w:r>
    </w:p>
    <w:p w14:paraId="6285B436" w14:textId="5A4CB165" w:rsidR="00B2715C" w:rsidRPr="00551D72" w:rsidRDefault="006E610F" w:rsidP="006B0137">
      <w:pPr>
        <w:pStyle w:val="ListParagraph"/>
        <w:spacing w:after="0" w:line="360" w:lineRule="auto"/>
        <w:ind w:firstLine="720"/>
        <w:rPr>
          <w:rFonts w:ascii="Times New Roman" w:eastAsia="Malgun Gothic" w:hAnsi="Times New Roman" w:cs="Times New Roman"/>
          <w:bCs/>
          <w:sz w:val="26"/>
          <w:szCs w:val="26"/>
        </w:rPr>
      </w:pPr>
      <w:r w:rsidRPr="00551D72">
        <w:rPr>
          <w:rFonts w:ascii="Times New Roman" w:eastAsia="Malgun Gothic" w:hAnsi="Times New Roman" w:cs="Times New Roman"/>
          <w:bCs/>
          <w:sz w:val="26"/>
          <w:szCs w:val="26"/>
        </w:rPr>
        <w:t xml:space="preserve">The purpose of this project is to </w:t>
      </w:r>
      <w:r w:rsidR="00EE785C" w:rsidRPr="00551D72">
        <w:rPr>
          <w:rFonts w:ascii="Times New Roman" w:eastAsia="Malgun Gothic" w:hAnsi="Times New Roman" w:cs="Times New Roman"/>
          <w:bCs/>
          <w:sz w:val="26"/>
          <w:szCs w:val="26"/>
        </w:rPr>
        <w:t xml:space="preserve">replace </w:t>
      </w:r>
      <w:r w:rsidR="00C22AB7" w:rsidRPr="00551D72">
        <w:rPr>
          <w:rFonts w:ascii="Times New Roman" w:eastAsia="Malgun Gothic" w:hAnsi="Times New Roman" w:cs="Times New Roman"/>
          <w:bCs/>
          <w:sz w:val="26"/>
          <w:szCs w:val="26"/>
        </w:rPr>
        <w:t xml:space="preserve">at-risk conductor on the </w:t>
      </w:r>
      <w:r w:rsidR="00624A32" w:rsidRPr="00551D72">
        <w:rPr>
          <w:rFonts w:ascii="Times New Roman" w:eastAsia="Malgun Gothic" w:hAnsi="Times New Roman" w:cs="Times New Roman"/>
          <w:bCs/>
          <w:sz w:val="26"/>
          <w:szCs w:val="26"/>
        </w:rPr>
        <w:t xml:space="preserve">Pardee-Pastoria 220kV line </w:t>
      </w:r>
      <w:r w:rsidR="00E53544" w:rsidRPr="00551D72">
        <w:rPr>
          <w:rFonts w:ascii="Times New Roman" w:eastAsia="Malgun Gothic" w:hAnsi="Times New Roman" w:cs="Times New Roman"/>
          <w:bCs/>
          <w:sz w:val="26"/>
          <w:szCs w:val="26"/>
        </w:rPr>
        <w:t>between San Joaquin and North Coast Grids</w:t>
      </w:r>
      <w:r w:rsidR="00640BD0" w:rsidRPr="00551D72">
        <w:rPr>
          <w:rFonts w:ascii="Times New Roman" w:eastAsia="Malgun Gothic" w:hAnsi="Times New Roman" w:cs="Times New Roman"/>
          <w:bCs/>
          <w:sz w:val="26"/>
          <w:szCs w:val="26"/>
        </w:rPr>
        <w:t xml:space="preserve"> to </w:t>
      </w:r>
      <w:r w:rsidR="0061762E" w:rsidRPr="00551D72">
        <w:rPr>
          <w:rFonts w:ascii="Times New Roman" w:eastAsia="Malgun Gothic" w:hAnsi="Times New Roman" w:cs="Times New Roman"/>
          <w:bCs/>
          <w:sz w:val="26"/>
          <w:szCs w:val="26"/>
        </w:rPr>
        <w:t xml:space="preserve">remediate </w:t>
      </w:r>
      <w:r w:rsidR="00640BD0" w:rsidRPr="00551D72">
        <w:rPr>
          <w:rFonts w:ascii="Times New Roman" w:eastAsia="Malgun Gothic" w:hAnsi="Times New Roman" w:cs="Times New Roman"/>
          <w:bCs/>
          <w:sz w:val="26"/>
          <w:szCs w:val="26"/>
        </w:rPr>
        <w:t>wire</w:t>
      </w:r>
      <w:r w:rsidR="00C21EED">
        <w:rPr>
          <w:rFonts w:ascii="Times New Roman" w:eastAsia="Malgun Gothic" w:hAnsi="Times New Roman" w:cs="Times New Roman"/>
          <w:bCs/>
          <w:sz w:val="26"/>
          <w:szCs w:val="26"/>
        </w:rPr>
        <w:t xml:space="preserve"> </w:t>
      </w:r>
      <w:r w:rsidR="00640BD0" w:rsidRPr="00551D72">
        <w:rPr>
          <w:rFonts w:ascii="Times New Roman" w:eastAsia="Malgun Gothic" w:hAnsi="Times New Roman" w:cs="Times New Roman"/>
          <w:bCs/>
          <w:sz w:val="26"/>
          <w:szCs w:val="26"/>
        </w:rPr>
        <w:t xml:space="preserve">down </w:t>
      </w:r>
      <w:r w:rsidR="0061762E" w:rsidRPr="00551D72">
        <w:rPr>
          <w:rFonts w:ascii="Times New Roman" w:eastAsia="Malgun Gothic" w:hAnsi="Times New Roman" w:cs="Times New Roman"/>
          <w:bCs/>
          <w:sz w:val="26"/>
          <w:szCs w:val="26"/>
        </w:rPr>
        <w:t>risk</w:t>
      </w:r>
      <w:r w:rsidR="00A97D28" w:rsidRPr="00551D72">
        <w:rPr>
          <w:rFonts w:ascii="Times New Roman" w:eastAsia="Malgun Gothic" w:hAnsi="Times New Roman" w:cs="Times New Roman"/>
          <w:bCs/>
          <w:sz w:val="26"/>
          <w:szCs w:val="26"/>
        </w:rPr>
        <w:t>s</w:t>
      </w:r>
      <w:r w:rsidR="0061762E" w:rsidRPr="00551D72">
        <w:rPr>
          <w:rFonts w:ascii="Times New Roman" w:eastAsia="Malgun Gothic" w:hAnsi="Times New Roman" w:cs="Times New Roman"/>
          <w:bCs/>
          <w:sz w:val="26"/>
          <w:szCs w:val="26"/>
        </w:rPr>
        <w:t xml:space="preserve"> due to </w:t>
      </w:r>
      <w:r w:rsidR="00A97D28" w:rsidRPr="00551D72">
        <w:rPr>
          <w:rFonts w:ascii="Times New Roman" w:eastAsia="Malgun Gothic" w:hAnsi="Times New Roman" w:cs="Times New Roman"/>
          <w:bCs/>
          <w:sz w:val="26"/>
          <w:szCs w:val="26"/>
        </w:rPr>
        <w:t xml:space="preserve">material </w:t>
      </w:r>
      <w:r w:rsidR="00A97D28" w:rsidRPr="00551D72">
        <w:rPr>
          <w:rFonts w:ascii="Times New Roman" w:eastAsia="Malgun Gothic" w:hAnsi="Times New Roman" w:cs="Times New Roman"/>
          <w:bCs/>
          <w:sz w:val="26"/>
          <w:szCs w:val="26"/>
        </w:rPr>
        <w:lastRenderedPageBreak/>
        <w:t>failures along the circuit</w:t>
      </w:r>
      <w:r w:rsidR="0061762E" w:rsidRPr="00551D72">
        <w:rPr>
          <w:rFonts w:ascii="Times New Roman" w:eastAsia="Malgun Gothic" w:hAnsi="Times New Roman" w:cs="Times New Roman"/>
          <w:bCs/>
          <w:sz w:val="26"/>
          <w:szCs w:val="26"/>
        </w:rPr>
        <w:t xml:space="preserve"> </w:t>
      </w:r>
      <w:r w:rsidR="00FD0BE9" w:rsidRPr="00551D72">
        <w:rPr>
          <w:rFonts w:ascii="Times New Roman" w:eastAsia="Malgun Gothic" w:hAnsi="Times New Roman" w:cs="Times New Roman"/>
          <w:bCs/>
          <w:sz w:val="26"/>
          <w:szCs w:val="26"/>
        </w:rPr>
        <w:t>(</w:t>
      </w:r>
      <w:r w:rsidR="00735E5D" w:rsidRPr="00551D72">
        <w:rPr>
          <w:rFonts w:ascii="Times New Roman" w:eastAsia="Malgun Gothic" w:hAnsi="Times New Roman" w:cs="Times New Roman"/>
          <w:bCs/>
          <w:sz w:val="26"/>
          <w:szCs w:val="26"/>
        </w:rPr>
        <w:t>total of ~39 miles</w:t>
      </w:r>
      <w:r w:rsidR="00CD4E7B" w:rsidRPr="00551D72">
        <w:rPr>
          <w:rFonts w:ascii="Times New Roman" w:eastAsia="Malgun Gothic" w:hAnsi="Times New Roman" w:cs="Times New Roman"/>
          <w:bCs/>
          <w:sz w:val="26"/>
          <w:szCs w:val="26"/>
        </w:rPr>
        <w:t xml:space="preserve">; ~12 miles </w:t>
      </w:r>
      <w:r w:rsidR="00DC5038" w:rsidRPr="00551D72">
        <w:rPr>
          <w:rFonts w:ascii="Times New Roman" w:eastAsia="Malgun Gothic" w:hAnsi="Times New Roman" w:cs="Times New Roman"/>
          <w:bCs/>
          <w:sz w:val="26"/>
          <w:szCs w:val="26"/>
        </w:rPr>
        <w:t xml:space="preserve">for </w:t>
      </w:r>
      <w:r w:rsidR="00E53544" w:rsidRPr="00551D72">
        <w:rPr>
          <w:rFonts w:ascii="Times New Roman" w:eastAsia="Malgun Gothic" w:hAnsi="Times New Roman" w:cs="Times New Roman"/>
          <w:bCs/>
          <w:sz w:val="26"/>
          <w:szCs w:val="26"/>
        </w:rPr>
        <w:t xml:space="preserve">San Joaquin Grid </w:t>
      </w:r>
      <w:r w:rsidR="00DC5038" w:rsidRPr="00551D72">
        <w:rPr>
          <w:rFonts w:ascii="Times New Roman" w:eastAsia="Malgun Gothic" w:hAnsi="Times New Roman" w:cs="Times New Roman"/>
          <w:bCs/>
          <w:sz w:val="26"/>
          <w:szCs w:val="26"/>
        </w:rPr>
        <w:t xml:space="preserve">and ~27 miles for </w:t>
      </w:r>
      <w:r w:rsidR="00E53544" w:rsidRPr="00551D72">
        <w:rPr>
          <w:rFonts w:ascii="Times New Roman" w:eastAsia="Malgun Gothic" w:hAnsi="Times New Roman" w:cs="Times New Roman"/>
          <w:bCs/>
          <w:sz w:val="26"/>
          <w:szCs w:val="26"/>
        </w:rPr>
        <w:t>North Coast Grid</w:t>
      </w:r>
      <w:r w:rsidR="00094A95" w:rsidRPr="00551D72">
        <w:rPr>
          <w:rFonts w:ascii="Times New Roman" w:eastAsia="Malgun Gothic" w:hAnsi="Times New Roman" w:cs="Times New Roman"/>
          <w:bCs/>
          <w:sz w:val="26"/>
          <w:szCs w:val="26"/>
        </w:rPr>
        <w:t>.</w:t>
      </w:r>
      <w:r w:rsidR="00E53544" w:rsidRPr="00551D72">
        <w:rPr>
          <w:rFonts w:ascii="Times New Roman" w:eastAsia="Malgun Gothic" w:hAnsi="Times New Roman" w:cs="Times New Roman"/>
          <w:bCs/>
          <w:sz w:val="26"/>
          <w:szCs w:val="26"/>
        </w:rPr>
        <w:t xml:space="preserve"> </w:t>
      </w:r>
    </w:p>
    <w:p w14:paraId="3E5F5F7F" w14:textId="10ED5516" w:rsidR="00B2715C" w:rsidRPr="00D1084B" w:rsidRDefault="00B2715C" w:rsidP="00B2715C">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$6</w:t>
      </w:r>
      <w:r w:rsidR="00BD02EE">
        <w:rPr>
          <w:rFonts w:ascii="Times New Roman" w:eastAsia="Malgun Gothic" w:hAnsi="Times New Roman" w:cs="Times New Roman"/>
          <w:bCs/>
          <w:color w:val="000000" w:themeColor="text1"/>
          <w:sz w:val="26"/>
          <w:szCs w:val="26"/>
        </w:rPr>
        <w:t>1</w:t>
      </w:r>
      <w:r w:rsidR="004351DD">
        <w:rPr>
          <w:rFonts w:ascii="Times New Roman" w:eastAsia="Malgun Gothic" w:hAnsi="Times New Roman" w:cs="Times New Roman"/>
          <w:bCs/>
          <w:color w:val="000000" w:themeColor="text1"/>
          <w:sz w:val="26"/>
          <w:szCs w:val="26"/>
        </w:rPr>
        <w:t>.1</w:t>
      </w:r>
      <w:r w:rsidR="00BD02EE">
        <w:rPr>
          <w:rFonts w:ascii="Times New Roman" w:eastAsia="Malgun Gothic" w:hAnsi="Times New Roman" w:cs="Times New Roman"/>
          <w:bCs/>
          <w:color w:val="000000" w:themeColor="text1"/>
          <w:sz w:val="26"/>
          <w:szCs w:val="26"/>
        </w:rPr>
        <w:t>50</w:t>
      </w:r>
      <w:r w:rsidRPr="00D1084B">
        <w:rPr>
          <w:rFonts w:ascii="Times New Roman" w:eastAsia="Malgun Gothic" w:hAnsi="Times New Roman" w:cs="Times New Roman"/>
          <w:bCs/>
          <w:color w:val="000000" w:themeColor="text1"/>
          <w:sz w:val="26"/>
          <w:szCs w:val="26"/>
        </w:rPr>
        <w:t xml:space="preserve"> million.</w:t>
      </w:r>
    </w:p>
    <w:p w14:paraId="6055A76D" w14:textId="77777777" w:rsidR="00D5626C" w:rsidRDefault="00D5626C" w:rsidP="00EE1FB9">
      <w:pPr>
        <w:pStyle w:val="StyleHeading1TextLeft0Hanging025"/>
        <w:ind w:left="0" w:firstLine="0"/>
        <w:rPr>
          <w:color w:val="000000" w:themeColor="text1"/>
          <w:sz w:val="26"/>
          <w:szCs w:val="26"/>
        </w:rPr>
      </w:pPr>
    </w:p>
    <w:p w14:paraId="0D62CE8D" w14:textId="01DF2CD8" w:rsidR="00FB10BE" w:rsidRPr="00D1084B" w:rsidRDefault="00FB10BE" w:rsidP="00FB10BE">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D1084B">
        <w:rPr>
          <w:rFonts w:ascii="Times New Roman" w:eastAsia="Malgun Gothic" w:hAnsi="Times New Roman" w:cs="Times New Roman"/>
          <w:b/>
          <w:bCs/>
          <w:color w:val="000000" w:themeColor="text1"/>
          <w:sz w:val="26"/>
          <w:szCs w:val="26"/>
        </w:rPr>
        <w:t>Lugo-Victorville 500 kV T/L Special Protection System (“SPS”) (PIN: 7763)</w:t>
      </w:r>
    </w:p>
    <w:p w14:paraId="229AC05B" w14:textId="77777777" w:rsidR="00FB10BE" w:rsidRPr="00D1084B" w:rsidRDefault="00FB10BE" w:rsidP="006B0137">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purpose of this project is to prevent overload conditions on the jointly owned Lugo-Victorville 500 kV transmission line. This SPS trips the Transition Cluster (“TC”) generation projects for the N-1 loss of the Eldorado-Lugo 500 kV line and the N-2 loss of the Eldorado-Lugo and Lugo-Mohave 500 kV transmission lines.  This project was approved by the CAISO in an executed LGIA.  </w:t>
      </w:r>
    </w:p>
    <w:p w14:paraId="25D22153" w14:textId="178A9B30" w:rsidR="00FB10BE" w:rsidRPr="00D1084B" w:rsidRDefault="00FB10BE" w:rsidP="00FB10BE">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B8455C">
        <w:rPr>
          <w:rFonts w:ascii="Times New Roman" w:eastAsia="Malgun Gothic" w:hAnsi="Times New Roman" w:cs="Times New Roman"/>
          <w:bCs/>
          <w:color w:val="000000" w:themeColor="text1"/>
          <w:sz w:val="26"/>
          <w:szCs w:val="26"/>
        </w:rPr>
        <w:t>43.689</w:t>
      </w:r>
      <w:r w:rsidRPr="00D1084B">
        <w:rPr>
          <w:rFonts w:ascii="Times New Roman" w:eastAsia="Malgun Gothic" w:hAnsi="Times New Roman" w:cs="Times New Roman"/>
          <w:bCs/>
          <w:color w:val="000000" w:themeColor="text1"/>
          <w:sz w:val="26"/>
          <w:szCs w:val="26"/>
        </w:rPr>
        <w:t xml:space="preserve"> million.</w:t>
      </w:r>
    </w:p>
    <w:p w14:paraId="0DCD05C3" w14:textId="77777777" w:rsidR="00FB10BE" w:rsidRDefault="00FB10BE" w:rsidP="00EE1FB9">
      <w:pPr>
        <w:pStyle w:val="StyleHeading1TextLeft0Hanging025"/>
        <w:ind w:left="0" w:firstLine="0"/>
        <w:rPr>
          <w:color w:val="000000" w:themeColor="text1"/>
          <w:sz w:val="26"/>
          <w:szCs w:val="26"/>
        </w:rPr>
      </w:pPr>
    </w:p>
    <w:p w14:paraId="1D5951CE" w14:textId="77777777" w:rsidR="00B121A6" w:rsidRPr="00D1084B" w:rsidRDefault="00B121A6" w:rsidP="00B121A6">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Physical Security Enhancement Projects (Tiers 2 &amp; 3) (PIN: 8042)</w:t>
      </w:r>
    </w:p>
    <w:p w14:paraId="06A41139" w14:textId="77777777" w:rsidR="00B121A6" w:rsidRPr="00D1084B" w:rsidRDefault="00B121A6" w:rsidP="006B013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Project objective is to provide the most useful, and increased level of, security measures at SCE’s most critical facilities based on the criticality of need and the potential impact of a security breach. The Tier Program supports the efforts of providing safe and reliable service to SCE’s customers by improving the protection of critical assets, buildings, and people around SCE’s electric facilities. Deployment of security systems at these facilities is prioritized based on operational need and evolving area threats which can include incidences of theft, vandalism, or security breaches. Security enhancements include perimeter intrusion detection, integrated access control systems, alarm management with the Edison Security Operations Center and video surveillance systems. This program implements a set of standards to ensure that SCE undertakes a fiscally responsible decision-making process that is directly tied to risk mitigation efforts.</w:t>
      </w:r>
    </w:p>
    <w:p w14:paraId="5F3572D3" w14:textId="77777777" w:rsidR="00B121A6" w:rsidRPr="00D1084B" w:rsidRDefault="00B121A6" w:rsidP="00B121A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Although work associated with the Tier Program was scheduled to begin</w:t>
      </w:r>
    </w:p>
    <w:p w14:paraId="2082EE8F" w14:textId="77777777" w:rsidR="00B121A6" w:rsidRPr="00D1084B" w:rsidRDefault="00B121A6" w:rsidP="00B121A6">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in 2018, SCE was able to test several new and more cost-effective security systems after the filing of the 2018 General Rate Case (GRC), prompting the rescheduling of implementation to 2019. The substation tiers are:</w:t>
      </w:r>
    </w:p>
    <w:p w14:paraId="5A06989F" w14:textId="77777777" w:rsidR="00B121A6" w:rsidRPr="00D1084B" w:rsidRDefault="00B121A6" w:rsidP="00B121A6">
      <w:pPr>
        <w:pStyle w:val="ListParagraph"/>
        <w:numPr>
          <w:ilvl w:val="0"/>
          <w:numId w:val="3"/>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1 – Substations identified in CIP-014 Risk Assessment (including Pre-CIP-014 Pilot Sites).</w:t>
      </w:r>
    </w:p>
    <w:p w14:paraId="4A1A0033" w14:textId="08766BC1" w:rsidR="00B121A6" w:rsidRPr="00D1084B" w:rsidRDefault="00B121A6" w:rsidP="00B121A6">
      <w:pPr>
        <w:pStyle w:val="ListParagraph"/>
        <w:numPr>
          <w:ilvl w:val="0"/>
          <w:numId w:val="3"/>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2 – 500 kV with five or more Network Connections or load &gt; 1,000 MW or Generation &gt; 1,200 MW.</w:t>
      </w:r>
    </w:p>
    <w:p w14:paraId="628688B4" w14:textId="77777777" w:rsidR="00B121A6" w:rsidRPr="00D1084B" w:rsidRDefault="00B121A6" w:rsidP="00B121A6">
      <w:pPr>
        <w:pStyle w:val="ListParagraph"/>
        <w:numPr>
          <w:ilvl w:val="0"/>
          <w:numId w:val="3"/>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3 – 500 kV with five or more Network Connections OR 220 kV with eight Network Connections, OR 220 kV and load &gt; 1,000 MW or Generation &gt; 1,200 MW.</w:t>
      </w:r>
    </w:p>
    <w:p w14:paraId="5E375BF9" w14:textId="77777777" w:rsidR="00B121A6" w:rsidRPr="00D1084B" w:rsidRDefault="00B121A6" w:rsidP="00B121A6">
      <w:pPr>
        <w:pStyle w:val="ListParagraph"/>
        <w:numPr>
          <w:ilvl w:val="0"/>
          <w:numId w:val="3"/>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Tier 4 – </w:t>
      </w:r>
      <w:proofErr w:type="gramStart"/>
      <w:r w:rsidRPr="00D1084B">
        <w:rPr>
          <w:rFonts w:ascii="Times New Roman" w:eastAsia="Malgun Gothic" w:hAnsi="Times New Roman" w:cs="Times New Roman"/>
          <w:bCs/>
          <w:color w:val="000000" w:themeColor="text1"/>
          <w:sz w:val="26"/>
          <w:szCs w:val="26"/>
        </w:rPr>
        <w:t>Additional</w:t>
      </w:r>
      <w:proofErr w:type="gramEnd"/>
      <w:r w:rsidRPr="00D1084B">
        <w:rPr>
          <w:rFonts w:ascii="Times New Roman" w:eastAsia="Malgun Gothic" w:hAnsi="Times New Roman" w:cs="Times New Roman"/>
          <w:bCs/>
          <w:color w:val="000000" w:themeColor="text1"/>
          <w:sz w:val="26"/>
          <w:szCs w:val="26"/>
        </w:rPr>
        <w:t xml:space="preserve"> A &amp; AA-bank substations identified by SCE AND Substations not identified in Tiers 1-3. </w:t>
      </w:r>
    </w:p>
    <w:p w14:paraId="0CD03F98" w14:textId="3ED4889A" w:rsidR="00B121A6" w:rsidRPr="00D1084B" w:rsidRDefault="00B121A6" w:rsidP="00B121A6">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$2</w:t>
      </w:r>
      <w:r w:rsidR="00B05EE7">
        <w:rPr>
          <w:rFonts w:ascii="Times New Roman" w:eastAsia="Malgun Gothic" w:hAnsi="Times New Roman" w:cs="Times New Roman"/>
          <w:bCs/>
          <w:color w:val="000000" w:themeColor="text1"/>
          <w:sz w:val="26"/>
          <w:szCs w:val="26"/>
        </w:rPr>
        <w:t>8.515</w:t>
      </w:r>
      <w:r w:rsidRPr="00D1084B">
        <w:rPr>
          <w:rFonts w:ascii="Times New Roman" w:eastAsia="Malgun Gothic" w:hAnsi="Times New Roman" w:cs="Times New Roman"/>
          <w:bCs/>
          <w:color w:val="000000" w:themeColor="text1"/>
          <w:sz w:val="26"/>
          <w:szCs w:val="26"/>
        </w:rPr>
        <w:t xml:space="preserve"> million.</w:t>
      </w:r>
    </w:p>
    <w:p w14:paraId="34F7B14B" w14:textId="77777777" w:rsidR="00B121A6" w:rsidRDefault="00B121A6" w:rsidP="00EE1FB9">
      <w:pPr>
        <w:pStyle w:val="StyleHeading1TextLeft0Hanging025"/>
        <w:ind w:left="0" w:firstLine="0"/>
        <w:rPr>
          <w:color w:val="000000" w:themeColor="text1"/>
          <w:sz w:val="26"/>
          <w:szCs w:val="26"/>
        </w:rPr>
      </w:pPr>
    </w:p>
    <w:p w14:paraId="41593D48" w14:textId="2A4245E8" w:rsidR="009A26BE" w:rsidRPr="00D1084B" w:rsidRDefault="00142777" w:rsidP="009A26BE">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009A26BE" w:rsidRPr="00D1084B">
        <w:rPr>
          <w:rFonts w:ascii="Times New Roman" w:eastAsia="Malgun Gothic" w:hAnsi="Times New Roman" w:cs="Times New Roman"/>
          <w:b/>
          <w:bCs/>
          <w:color w:val="000000" w:themeColor="text1"/>
          <w:sz w:val="26"/>
          <w:szCs w:val="26"/>
        </w:rPr>
        <w:t>Annual Transmission Reliability Assessment 2016 - Protection Upgrades (PIN: 8077)</w:t>
      </w:r>
    </w:p>
    <w:p w14:paraId="1790BF96" w14:textId="77777777" w:rsidR="009A26BE" w:rsidRPr="00D1084B" w:rsidRDefault="009A26BE" w:rsidP="006B0137">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Install protection upgrades to comply with NERC TPL 001-4 (Transmission System Planning Performance Requirements), which went into effect January 1, 2016. NERC Transmission Planning Standards 001-4 requires mitigations for the TPL violations and persistent faults identified as part of Annual Transmission Reliability Assessment (ATRA) 2016.</w:t>
      </w:r>
    </w:p>
    <w:p w14:paraId="27129B76" w14:textId="77777777" w:rsidR="009A26BE" w:rsidRPr="00D1084B" w:rsidRDefault="009A26BE" w:rsidP="009A26BE">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In coordination with CAISO’s TPP, SCE performs an ATRA for its portion of the CAISO-controlled grid. This assessment is designed to:</w:t>
      </w:r>
    </w:p>
    <w:p w14:paraId="0FE2B9AA" w14:textId="77777777" w:rsidR="009A26BE" w:rsidRPr="00D1084B" w:rsidRDefault="009A26BE" w:rsidP="009A26BE">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 xml:space="preserve">Evaluate the performance of the SCE transmission system under peak and off-peak conditions for near-term and long-term planning horizons. </w:t>
      </w:r>
    </w:p>
    <w:p w14:paraId="07F9604A" w14:textId="77777777" w:rsidR="009A26BE" w:rsidRPr="00D1084B" w:rsidRDefault="009A26BE" w:rsidP="009A26BE">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 xml:space="preserve">Determine transmission constraints under stressed system conditions.  </w:t>
      </w:r>
    </w:p>
    <w:p w14:paraId="04EFACD6" w14:textId="77777777" w:rsidR="009A26BE" w:rsidRPr="00D1084B" w:rsidRDefault="009A26BE" w:rsidP="009A26BE">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Identify upgrades needed to maintain the reliability of the transmission system and comply with the NERC Reliability Standards, the WECC Regional Business Practices, the CAISO Planning Standards, and SCE’s transmission planning criteria.</w:t>
      </w:r>
    </w:p>
    <w:p w14:paraId="79C638D3" w14:textId="77777777" w:rsidR="009A26BE" w:rsidRPr="00D1084B" w:rsidRDefault="009A26BE" w:rsidP="009A26BE">
      <w:pPr>
        <w:spacing w:after="0" w:line="360" w:lineRule="auto"/>
        <w:ind w:left="810" w:firstLine="45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SCE’s ATRA is performed in parallel with the CAISO TPP under the CAISO’s FERC jurisdictional tariff.  SCE’s Grid Reliability Projects are identified in the CAISO TPP and subject to review and approval by the CAISO’s Board of Directors and cost recovery is conducted through the CAISO’s Transmission Access Charge (TAC).</w:t>
      </w:r>
    </w:p>
    <w:p w14:paraId="447EE180" w14:textId="039609A2" w:rsidR="009A26BE" w:rsidRPr="00D1084B" w:rsidRDefault="009A26BE" w:rsidP="009A26BE">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142777">
        <w:rPr>
          <w:rFonts w:ascii="Times New Roman" w:eastAsia="Malgun Gothic" w:hAnsi="Times New Roman" w:cs="Times New Roman"/>
          <w:bCs/>
          <w:color w:val="000000" w:themeColor="text1"/>
          <w:sz w:val="26"/>
          <w:szCs w:val="26"/>
        </w:rPr>
        <w:t>18.323</w:t>
      </w:r>
      <w:r w:rsidRPr="00D1084B">
        <w:rPr>
          <w:rFonts w:ascii="Times New Roman" w:eastAsia="Malgun Gothic" w:hAnsi="Times New Roman" w:cs="Times New Roman"/>
          <w:bCs/>
          <w:color w:val="000000" w:themeColor="text1"/>
          <w:sz w:val="26"/>
          <w:szCs w:val="26"/>
        </w:rPr>
        <w:t xml:space="preserve"> million.</w:t>
      </w:r>
    </w:p>
    <w:p w14:paraId="415F9C98" w14:textId="77777777" w:rsidR="00B2715C" w:rsidRDefault="00B2715C" w:rsidP="00EE1FB9">
      <w:pPr>
        <w:pStyle w:val="StyleHeading1TextLeft0Hanging025"/>
        <w:ind w:left="0" w:firstLine="0"/>
        <w:rPr>
          <w:color w:val="000000" w:themeColor="text1"/>
          <w:sz w:val="26"/>
          <w:szCs w:val="26"/>
        </w:rPr>
      </w:pPr>
    </w:p>
    <w:p w14:paraId="36582E59" w14:textId="32A1A315" w:rsidR="002770D4" w:rsidRPr="00D1084B" w:rsidRDefault="002770D4" w:rsidP="002770D4">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2770D4">
        <w:rPr>
          <w:rFonts w:ascii="Times New Roman" w:eastAsia="Malgun Gothic" w:hAnsi="Times New Roman" w:cs="Times New Roman"/>
          <w:b/>
          <w:bCs/>
          <w:color w:val="000000" w:themeColor="text1"/>
          <w:sz w:val="26"/>
          <w:szCs w:val="26"/>
        </w:rPr>
        <w:t>West of Colorado River CRAS Inland Devers Extension</w:t>
      </w:r>
      <w:r w:rsidRPr="00D1084B">
        <w:rPr>
          <w:rFonts w:ascii="Times New Roman" w:eastAsia="Malgun Gothic" w:hAnsi="Times New Roman" w:cs="Times New Roman"/>
          <w:b/>
          <w:bCs/>
          <w:color w:val="000000" w:themeColor="text1"/>
          <w:sz w:val="26"/>
          <w:szCs w:val="26"/>
        </w:rPr>
        <w:t xml:space="preserve"> (PIN: </w:t>
      </w:r>
      <w:r>
        <w:rPr>
          <w:rFonts w:ascii="Times New Roman" w:eastAsia="Malgun Gothic" w:hAnsi="Times New Roman" w:cs="Times New Roman"/>
          <w:b/>
          <w:bCs/>
          <w:color w:val="000000" w:themeColor="text1"/>
          <w:sz w:val="26"/>
          <w:szCs w:val="26"/>
        </w:rPr>
        <w:t>8284</w:t>
      </w:r>
      <w:r w:rsidRPr="00D1084B">
        <w:rPr>
          <w:rFonts w:ascii="Times New Roman" w:eastAsia="Malgun Gothic" w:hAnsi="Times New Roman" w:cs="Times New Roman"/>
          <w:b/>
          <w:bCs/>
          <w:color w:val="000000" w:themeColor="text1"/>
          <w:sz w:val="26"/>
          <w:szCs w:val="26"/>
        </w:rPr>
        <w:t>)</w:t>
      </w:r>
    </w:p>
    <w:p w14:paraId="07935C8D" w14:textId="3248D8A2" w:rsidR="00A141EE" w:rsidRPr="00551D72" w:rsidRDefault="00A141EE" w:rsidP="006B0137">
      <w:pPr>
        <w:pStyle w:val="ListParagraph"/>
        <w:spacing w:after="0" w:line="360" w:lineRule="auto"/>
        <w:ind w:firstLine="540"/>
        <w:rPr>
          <w:rFonts w:ascii="Times New Roman" w:eastAsia="Malgun Gothic" w:hAnsi="Times New Roman" w:cs="Times New Roman"/>
          <w:bCs/>
          <w:sz w:val="26"/>
          <w:szCs w:val="26"/>
        </w:rPr>
      </w:pPr>
      <w:r w:rsidRPr="00551D72">
        <w:rPr>
          <w:rFonts w:ascii="Times New Roman" w:eastAsia="Malgun Gothic" w:hAnsi="Times New Roman" w:cs="Times New Roman"/>
          <w:bCs/>
          <w:sz w:val="26"/>
          <w:szCs w:val="26"/>
        </w:rPr>
        <w:t xml:space="preserve">As part of the QC10 studies, generation projects (Q1405 Athos Power Plant and Q1407 Mountainview Generating Station Pmax </w:t>
      </w:r>
      <w:r w:rsidRPr="00E165CB">
        <w:rPr>
          <w:rFonts w:ascii="Times New Roman" w:eastAsia="Malgun Gothic" w:hAnsi="Times New Roman" w:cs="Times New Roman"/>
          <w:bCs/>
          <w:sz w:val="26"/>
          <w:szCs w:val="26"/>
        </w:rPr>
        <w:t>Increase, QAAA Marvel and QBBB Menfiee)</w:t>
      </w:r>
      <w:r w:rsidRPr="00551D72">
        <w:rPr>
          <w:rFonts w:ascii="Times New Roman" w:eastAsia="Malgun Gothic" w:hAnsi="Times New Roman" w:cs="Times New Roman"/>
          <w:bCs/>
          <w:sz w:val="26"/>
          <w:szCs w:val="26"/>
        </w:rPr>
        <w:t xml:space="preserve"> are seeking interconnection to the Eastern Area, which triggered the need for the West of Colorado River Centralized Remedial Action Scheme (CRAS) Inland/Devers Extension. This CRAS monitors multiple 220 kV and 500 kV lines in the West of Devers Area. The Athos Power Plant Project (Q1405/TOT849) is interconnecting at the SCE Red Bluff 220 kV Switchyard and the interconnection facilities are required for the projects to connect. Marvel generation is interconnecting at Devers 220 KV and Menifee generation is interconnecting at Valley 500 KV.</w:t>
      </w:r>
    </w:p>
    <w:p w14:paraId="1861F4C9" w14:textId="310F36C3" w:rsidR="002770D4" w:rsidRPr="00D1084B" w:rsidRDefault="002770D4" w:rsidP="002770D4">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2E7946">
        <w:rPr>
          <w:rFonts w:ascii="Times New Roman" w:eastAsia="Malgun Gothic" w:hAnsi="Times New Roman" w:cs="Times New Roman"/>
          <w:bCs/>
          <w:color w:val="000000" w:themeColor="text1"/>
          <w:sz w:val="26"/>
          <w:szCs w:val="26"/>
        </w:rPr>
        <w:t>10.327</w:t>
      </w:r>
      <w:r w:rsidRPr="00D1084B">
        <w:rPr>
          <w:rFonts w:ascii="Times New Roman" w:eastAsia="Malgun Gothic" w:hAnsi="Times New Roman" w:cs="Times New Roman"/>
          <w:bCs/>
          <w:color w:val="000000" w:themeColor="text1"/>
          <w:sz w:val="26"/>
          <w:szCs w:val="26"/>
        </w:rPr>
        <w:t xml:space="preserve"> million.</w:t>
      </w:r>
    </w:p>
    <w:p w14:paraId="66611B10" w14:textId="77777777" w:rsidR="002770D4" w:rsidRDefault="002770D4" w:rsidP="00EE1FB9">
      <w:pPr>
        <w:pStyle w:val="StyleHeading1TextLeft0Hanging025"/>
        <w:ind w:left="0" w:firstLine="0"/>
        <w:rPr>
          <w:color w:val="000000" w:themeColor="text1"/>
          <w:sz w:val="26"/>
          <w:szCs w:val="26"/>
        </w:rPr>
      </w:pPr>
    </w:p>
    <w:p w14:paraId="0F069E92" w14:textId="773742EE" w:rsidR="00246A4F" w:rsidRPr="00D1084B" w:rsidRDefault="004803EE" w:rsidP="00246A4F">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246A4F" w:rsidRPr="00D1084B">
        <w:rPr>
          <w:rFonts w:ascii="Times New Roman" w:eastAsia="Times New Roman" w:hAnsi="Times New Roman" w:cs="Times New Roman"/>
          <w:b/>
          <w:bCs/>
          <w:color w:val="000000" w:themeColor="text1"/>
          <w:sz w:val="26"/>
          <w:szCs w:val="26"/>
        </w:rPr>
        <w:t>Pardee-Sylmar No. 1 and No. 2 230kV Line Rating Increase Project (PIN: 8294)</w:t>
      </w:r>
    </w:p>
    <w:p w14:paraId="0BFDEEAE" w14:textId="77777777" w:rsidR="00246A4F" w:rsidRPr="00D1084B" w:rsidRDefault="00246A4F" w:rsidP="006B0137">
      <w:pPr>
        <w:pStyle w:val="ListParagraph"/>
        <w:spacing w:line="360" w:lineRule="auto"/>
        <w:ind w:firstLine="720"/>
        <w:rPr>
          <w:rFonts w:ascii="Times New Roman" w:hAnsi="Times New Roman" w:cs="Times New Roman"/>
          <w:sz w:val="26"/>
          <w:szCs w:val="26"/>
        </w:rPr>
      </w:pPr>
      <w:r w:rsidRPr="00D1084B">
        <w:rPr>
          <w:rFonts w:ascii="Times New Roman" w:hAnsi="Times New Roman" w:cs="Times New Roman"/>
          <w:sz w:val="26"/>
          <w:szCs w:val="26"/>
        </w:rPr>
        <w:t>The Pardee-Sylmar No.1 and No. 2 230 kV Line Rating Increase Project is a project that is intended to mitigate thermal overloads on the Pardee-Sylmar No. 1 and Pardee-Sylmar No.2 230 kV transmission lines under P1 and P3 contingency conditions.</w:t>
      </w:r>
      <w:r w:rsidRPr="00D1084B">
        <w:rPr>
          <w:rFonts w:ascii="Times New Roman" w:hAnsi="Times New Roman" w:cs="Times New Roman"/>
          <w:sz w:val="26"/>
          <w:szCs w:val="26"/>
          <w:vertAlign w:val="superscript"/>
        </w:rPr>
        <w:t xml:space="preserve">* </w:t>
      </w:r>
      <w:r w:rsidRPr="00D1084B">
        <w:rPr>
          <w:rFonts w:ascii="Times New Roman" w:hAnsi="Times New Roman" w:cs="Times New Roman"/>
          <w:sz w:val="26"/>
          <w:szCs w:val="26"/>
        </w:rPr>
        <w:t xml:space="preserve">  The project involves increasing the rating of the line from 3000 Amps to 4000 Amps by replacing circuit breakers and other terminal equipment at both SCE’s Pardee Substation and LADWP’s Sylmar Substation. This would serve to increase the emergency rating of both Pardee-Sylmar No. 1 and Pardee-Sylmar No.2 230 kV lines, to their full conductor capability.  The project would also </w:t>
      </w:r>
      <w:r w:rsidRPr="00D1084B">
        <w:rPr>
          <w:rFonts w:ascii="Times New Roman" w:hAnsi="Times New Roman" w:cs="Times New Roman"/>
          <w:sz w:val="26"/>
          <w:szCs w:val="26"/>
        </w:rPr>
        <w:lastRenderedPageBreak/>
        <w:t xml:space="preserve">provide mitigation of GO </w:t>
      </w:r>
      <w:proofErr w:type="gramStart"/>
      <w:r w:rsidRPr="00D1084B">
        <w:rPr>
          <w:rFonts w:ascii="Times New Roman" w:hAnsi="Times New Roman" w:cs="Times New Roman"/>
          <w:sz w:val="26"/>
          <w:szCs w:val="26"/>
        </w:rPr>
        <w:t>95 line</w:t>
      </w:r>
      <w:proofErr w:type="gramEnd"/>
      <w:r w:rsidRPr="00D1084B">
        <w:rPr>
          <w:rFonts w:ascii="Times New Roman" w:hAnsi="Times New Roman" w:cs="Times New Roman"/>
          <w:sz w:val="26"/>
          <w:szCs w:val="26"/>
        </w:rPr>
        <w:t xml:space="preserve"> clearance issues on both lines.  The project is scheduled to be in-service by 2025.   </w:t>
      </w:r>
    </w:p>
    <w:p w14:paraId="27BA400F" w14:textId="77777777" w:rsidR="00246A4F" w:rsidRPr="00D1084B" w:rsidRDefault="00246A4F" w:rsidP="00246A4F">
      <w:pPr>
        <w:pStyle w:val="ListParagraph"/>
        <w:spacing w:line="360" w:lineRule="auto"/>
        <w:ind w:firstLine="720"/>
        <w:rPr>
          <w:rFonts w:ascii="Times New Roman" w:hAnsi="Times New Roman" w:cs="Times New Roman"/>
          <w:sz w:val="26"/>
          <w:szCs w:val="26"/>
        </w:rPr>
      </w:pPr>
      <w:r w:rsidRPr="00D1084B">
        <w:rPr>
          <w:rFonts w:ascii="Times New Roman" w:hAnsi="Times New Roman" w:cs="Times New Roman"/>
          <w:sz w:val="26"/>
          <w:szCs w:val="26"/>
        </w:rPr>
        <w:t xml:space="preserve">The CAISO’s 2019-2020 TPP showed thermal violations in year 2029 (Summer Peak) for the loss of either of these two Pardee-Sylmar 230 kV lines (NERC P1*), the loss of Lugo-Victorville 500 kV line (NERC P1*) and/or the loss of a generator and either of these two Pardee-Sylmar 230 kV lines (NERC P3*). The thermal violations are driven by shifts in future peak conditions, including generation retirement that </w:t>
      </w:r>
      <w:proofErr w:type="gramStart"/>
      <w:r w:rsidRPr="00D1084B">
        <w:rPr>
          <w:rFonts w:ascii="Times New Roman" w:hAnsi="Times New Roman" w:cs="Times New Roman"/>
          <w:sz w:val="26"/>
          <w:szCs w:val="26"/>
        </w:rPr>
        <w:t>is located in</w:t>
      </w:r>
      <w:proofErr w:type="gramEnd"/>
      <w:r w:rsidRPr="00D1084B">
        <w:rPr>
          <w:rFonts w:ascii="Times New Roman" w:hAnsi="Times New Roman" w:cs="Times New Roman"/>
          <w:sz w:val="26"/>
          <w:szCs w:val="26"/>
        </w:rPr>
        <w:t xml:space="preserve"> PG&amp;E’s system, combined with south-to-north flows on WECC Path 26 (Midway-Vincent No.1 and Midway-Vincent No.2, and Midway-Whirlwind 500 kV lines).</w:t>
      </w:r>
    </w:p>
    <w:p w14:paraId="2F3857CB" w14:textId="77777777" w:rsidR="00246A4F" w:rsidRPr="00D1084B" w:rsidRDefault="00246A4F" w:rsidP="00246A4F">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This project will increase the line rating of the Pardee-Sylmar Line Nos. 1 and 2 which </w:t>
      </w:r>
      <w:proofErr w:type="gramStart"/>
      <w:r w:rsidRPr="00D1084B">
        <w:rPr>
          <w:rFonts w:ascii="Times New Roman" w:eastAsia="Times New Roman" w:hAnsi="Times New Roman" w:cs="Times New Roman"/>
          <w:color w:val="000000" w:themeColor="text1"/>
          <w:sz w:val="26"/>
          <w:szCs w:val="26"/>
        </w:rPr>
        <w:t>are located in</w:t>
      </w:r>
      <w:proofErr w:type="gramEnd"/>
      <w:r w:rsidRPr="00D1084B">
        <w:rPr>
          <w:rFonts w:ascii="Times New Roman" w:eastAsia="Times New Roman" w:hAnsi="Times New Roman" w:cs="Times New Roman"/>
          <w:color w:val="000000" w:themeColor="text1"/>
          <w:sz w:val="26"/>
          <w:szCs w:val="26"/>
        </w:rPr>
        <w:t xml:space="preserve"> the Pardee – Sylmar areas of SCE’s service territory in California through the successful execution of this project.  The project scope involves upgrading 6 circuit breakers at two 220kV positions in the Pardee Substation, and the raising of four transmission towers to mitigate clearance issues, as well as the lowering of one distribution line crossing.  This project was approved by the CAISO Board of Governors in March of 2022.    </w:t>
      </w:r>
    </w:p>
    <w:p w14:paraId="1F8CC025" w14:textId="547B7698" w:rsidR="00246A4F" w:rsidRPr="00D1084B" w:rsidRDefault="00B763C1" w:rsidP="00B763C1">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Pr>
          <w:rFonts w:ascii="Times New Roman" w:eastAsia="Malgun Gothic" w:hAnsi="Times New Roman" w:cs="Times New Roman"/>
          <w:bCs/>
          <w:color w:val="000000" w:themeColor="text1"/>
          <w:sz w:val="26"/>
          <w:szCs w:val="26"/>
        </w:rPr>
        <w:t>1</w:t>
      </w:r>
      <w:r w:rsidR="002144CD">
        <w:rPr>
          <w:rFonts w:ascii="Times New Roman" w:eastAsia="Malgun Gothic" w:hAnsi="Times New Roman" w:cs="Times New Roman"/>
          <w:bCs/>
          <w:color w:val="000000" w:themeColor="text1"/>
          <w:sz w:val="26"/>
          <w:szCs w:val="26"/>
        </w:rPr>
        <w:t>1.907</w:t>
      </w:r>
      <w:r w:rsidR="00246A4F" w:rsidRPr="00D1084B">
        <w:rPr>
          <w:rFonts w:ascii="Times New Roman" w:eastAsia="Malgun Gothic" w:hAnsi="Times New Roman" w:cs="Times New Roman"/>
          <w:bCs/>
          <w:color w:val="000000" w:themeColor="text1"/>
          <w:sz w:val="26"/>
          <w:szCs w:val="26"/>
        </w:rPr>
        <w:t>.</w:t>
      </w:r>
    </w:p>
    <w:p w14:paraId="75B40429" w14:textId="77777777" w:rsidR="00246A4F" w:rsidRPr="00D1084B" w:rsidRDefault="00246A4F" w:rsidP="00246A4F">
      <w:pPr>
        <w:pStyle w:val="ListParagraph"/>
        <w:spacing w:line="360" w:lineRule="auto"/>
        <w:rPr>
          <w:rFonts w:ascii="Times New Roman" w:hAnsi="Times New Roman" w:cs="Times New Roman"/>
          <w:sz w:val="26"/>
          <w:szCs w:val="26"/>
        </w:rPr>
      </w:pPr>
      <w:r w:rsidRPr="00D1084B">
        <w:rPr>
          <w:rFonts w:ascii="Times New Roman" w:hAnsi="Times New Roman" w:cs="Times New Roman"/>
          <w:sz w:val="26"/>
          <w:szCs w:val="26"/>
        </w:rPr>
        <w:t>           *A NERC P1 contingency is a single contingency (N-1</w:t>
      </w:r>
      <w:proofErr w:type="gramStart"/>
      <w:r w:rsidRPr="00D1084B">
        <w:rPr>
          <w:rFonts w:ascii="Times New Roman" w:hAnsi="Times New Roman" w:cs="Times New Roman"/>
          <w:sz w:val="26"/>
          <w:szCs w:val="26"/>
        </w:rPr>
        <w:t>);</w:t>
      </w:r>
      <w:proofErr w:type="gramEnd"/>
      <w:r w:rsidRPr="00D1084B">
        <w:rPr>
          <w:rFonts w:ascii="Times New Roman" w:hAnsi="Times New Roman" w:cs="Times New Roman"/>
          <w:sz w:val="26"/>
          <w:szCs w:val="26"/>
        </w:rPr>
        <w:t xml:space="preserve"> </w:t>
      </w:r>
    </w:p>
    <w:p w14:paraId="161085FE" w14:textId="77777777" w:rsidR="00246A4F" w:rsidRPr="00D1084B" w:rsidRDefault="00246A4F" w:rsidP="00246A4F">
      <w:pPr>
        <w:pStyle w:val="ListParagraph"/>
        <w:spacing w:line="360" w:lineRule="auto"/>
        <w:ind w:firstLine="720"/>
        <w:rPr>
          <w:rFonts w:ascii="Times New Roman" w:hAnsi="Times New Roman" w:cs="Times New Roman"/>
          <w:color w:val="000000"/>
          <w:sz w:val="26"/>
          <w:szCs w:val="26"/>
        </w:rPr>
      </w:pPr>
      <w:r w:rsidRPr="00D1084B">
        <w:rPr>
          <w:rFonts w:ascii="Times New Roman" w:hAnsi="Times New Roman" w:cs="Times New Roman"/>
          <w:sz w:val="26"/>
          <w:szCs w:val="26"/>
        </w:rPr>
        <w:t>*A NERC P3 is a multiple contingency such as loss of generation unit followed by a loss of transmission line</w:t>
      </w:r>
      <w:r w:rsidRPr="00D1084B">
        <w:rPr>
          <w:rFonts w:ascii="Times New Roman" w:hAnsi="Times New Roman" w:cs="Times New Roman"/>
          <w:color w:val="000000"/>
          <w:sz w:val="26"/>
          <w:szCs w:val="26"/>
        </w:rPr>
        <w:t>.</w:t>
      </w:r>
    </w:p>
    <w:p w14:paraId="1750BA45" w14:textId="77777777" w:rsidR="00246A4F" w:rsidRDefault="00246A4F" w:rsidP="00EE1FB9">
      <w:pPr>
        <w:pStyle w:val="StyleHeading1TextLeft0Hanging025"/>
        <w:ind w:left="0" w:firstLine="0"/>
        <w:rPr>
          <w:color w:val="000000" w:themeColor="text1"/>
          <w:sz w:val="26"/>
          <w:szCs w:val="26"/>
        </w:rPr>
      </w:pPr>
    </w:p>
    <w:p w14:paraId="06D7E946" w14:textId="33018D20" w:rsidR="004803EE" w:rsidRPr="00D1084B" w:rsidRDefault="004803EE" w:rsidP="004803EE">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980D12" w:rsidRPr="00980D12">
        <w:rPr>
          <w:rFonts w:ascii="Times New Roman" w:eastAsia="Times New Roman" w:hAnsi="Times New Roman" w:cs="Times New Roman"/>
          <w:b/>
          <w:bCs/>
          <w:color w:val="000000" w:themeColor="text1"/>
          <w:sz w:val="26"/>
          <w:szCs w:val="26"/>
        </w:rPr>
        <w:t>Bellefield Solar Farm Reliability Network Upgrades</w:t>
      </w:r>
      <w:r w:rsidRPr="00D1084B">
        <w:rPr>
          <w:rFonts w:ascii="Times New Roman" w:eastAsia="Times New Roman" w:hAnsi="Times New Roman" w:cs="Times New Roman"/>
          <w:b/>
          <w:bCs/>
          <w:color w:val="000000" w:themeColor="text1"/>
          <w:sz w:val="26"/>
          <w:szCs w:val="26"/>
        </w:rPr>
        <w:t xml:space="preserve"> (PIN: </w:t>
      </w:r>
      <w:r w:rsidR="00980D12">
        <w:rPr>
          <w:rFonts w:ascii="Times New Roman" w:eastAsia="Times New Roman" w:hAnsi="Times New Roman" w:cs="Times New Roman"/>
          <w:b/>
          <w:bCs/>
          <w:color w:val="000000" w:themeColor="text1"/>
          <w:sz w:val="26"/>
          <w:szCs w:val="26"/>
        </w:rPr>
        <w:t>8298</w:t>
      </w:r>
      <w:r w:rsidRPr="00D1084B">
        <w:rPr>
          <w:rFonts w:ascii="Times New Roman" w:eastAsia="Times New Roman" w:hAnsi="Times New Roman" w:cs="Times New Roman"/>
          <w:b/>
          <w:bCs/>
          <w:color w:val="000000" w:themeColor="text1"/>
          <w:sz w:val="26"/>
          <w:szCs w:val="26"/>
        </w:rPr>
        <w:t>)</w:t>
      </w:r>
    </w:p>
    <w:p w14:paraId="241CCD84" w14:textId="77DE404E" w:rsidR="004803EE" w:rsidRPr="00D16804" w:rsidRDefault="00DB0687" w:rsidP="00D16804">
      <w:pPr>
        <w:pStyle w:val="ListParagraph"/>
        <w:spacing w:after="0" w:line="360" w:lineRule="auto"/>
        <w:ind w:firstLine="540"/>
        <w:rPr>
          <w:rFonts w:ascii="Times New Roman" w:eastAsia="Malgun Gothic" w:hAnsi="Times New Roman" w:cs="Times New Roman"/>
          <w:sz w:val="26"/>
          <w:szCs w:val="26"/>
        </w:rPr>
      </w:pPr>
      <w:r w:rsidRPr="00D16804">
        <w:rPr>
          <w:rFonts w:ascii="Times New Roman" w:eastAsia="Malgun Gothic" w:hAnsi="Times New Roman" w:cs="Times New Roman"/>
          <w:sz w:val="26"/>
          <w:szCs w:val="26"/>
        </w:rPr>
        <w:t xml:space="preserve">The purpose of this project is to interconnect </w:t>
      </w:r>
      <w:r w:rsidR="00EC0175" w:rsidRPr="00D16804">
        <w:rPr>
          <w:rFonts w:ascii="Times New Roman" w:eastAsia="Malgun Gothic" w:hAnsi="Times New Roman" w:cs="Times New Roman"/>
          <w:sz w:val="26"/>
          <w:szCs w:val="26"/>
        </w:rPr>
        <w:t xml:space="preserve">the </w:t>
      </w:r>
      <w:r w:rsidRPr="00D16804">
        <w:rPr>
          <w:rFonts w:ascii="Times New Roman" w:eastAsia="Malgun Gothic" w:hAnsi="Times New Roman" w:cs="Times New Roman"/>
          <w:sz w:val="26"/>
          <w:szCs w:val="26"/>
        </w:rPr>
        <w:t xml:space="preserve">Bellefield Solar Farm </w:t>
      </w:r>
      <w:r w:rsidR="00336A67" w:rsidRPr="00D16804">
        <w:rPr>
          <w:rFonts w:ascii="Times New Roman" w:eastAsia="Malgun Gothic" w:hAnsi="Times New Roman" w:cs="Times New Roman"/>
          <w:sz w:val="26"/>
          <w:szCs w:val="26"/>
        </w:rPr>
        <w:t xml:space="preserve">500 MW </w:t>
      </w:r>
      <w:r w:rsidRPr="00D16804">
        <w:rPr>
          <w:rFonts w:ascii="Times New Roman" w:eastAsia="Malgun Gothic" w:hAnsi="Times New Roman" w:cs="Times New Roman"/>
          <w:sz w:val="26"/>
          <w:szCs w:val="26"/>
        </w:rPr>
        <w:t xml:space="preserve">solar photovoltaic/energy storage generating station to SCE's transmission system at Windhub 220 kV Substation. The scope of work includes </w:t>
      </w:r>
      <w:r w:rsidR="00AE560C">
        <w:rPr>
          <w:rFonts w:ascii="Times New Roman" w:eastAsia="Malgun Gothic" w:hAnsi="Times New Roman" w:cs="Times New Roman"/>
          <w:bCs/>
          <w:sz w:val="26"/>
          <w:szCs w:val="26"/>
        </w:rPr>
        <w:t xml:space="preserve">one </w:t>
      </w:r>
      <w:r w:rsidRPr="00D16804">
        <w:rPr>
          <w:rFonts w:ascii="Times New Roman" w:eastAsia="Malgun Gothic" w:hAnsi="Times New Roman" w:cs="Times New Roman"/>
          <w:sz w:val="26"/>
          <w:szCs w:val="26"/>
        </w:rPr>
        <w:t xml:space="preserve">new 220 kV </w:t>
      </w:r>
      <w:r w:rsidR="00F97B83" w:rsidRPr="00D16804">
        <w:rPr>
          <w:rFonts w:ascii="Times New Roman" w:eastAsia="Malgun Gothic" w:hAnsi="Times New Roman" w:cs="Times New Roman"/>
          <w:sz w:val="26"/>
          <w:szCs w:val="26"/>
        </w:rPr>
        <w:t>line position</w:t>
      </w:r>
      <w:r w:rsidRPr="00D16804">
        <w:rPr>
          <w:rFonts w:ascii="Times New Roman" w:eastAsia="Malgun Gothic" w:hAnsi="Times New Roman" w:cs="Times New Roman"/>
          <w:sz w:val="26"/>
          <w:szCs w:val="26"/>
        </w:rPr>
        <w:t>,</w:t>
      </w:r>
      <w:r w:rsidR="00395101" w:rsidRPr="00D16804">
        <w:rPr>
          <w:rFonts w:ascii="Times New Roman" w:eastAsia="Malgun Gothic" w:hAnsi="Times New Roman" w:cs="Times New Roman"/>
          <w:sz w:val="26"/>
          <w:szCs w:val="26"/>
        </w:rPr>
        <w:t xml:space="preserve"> </w:t>
      </w:r>
      <w:r w:rsidR="00A44F11" w:rsidRPr="00D16804">
        <w:rPr>
          <w:rFonts w:ascii="Times New Roman" w:eastAsia="Malgun Gothic" w:hAnsi="Times New Roman" w:cs="Times New Roman"/>
          <w:sz w:val="26"/>
          <w:szCs w:val="26"/>
        </w:rPr>
        <w:t xml:space="preserve">new 220kV transmission Line </w:t>
      </w:r>
      <w:r w:rsidR="00E63F8B" w:rsidRPr="00D16804">
        <w:rPr>
          <w:rFonts w:ascii="Times New Roman" w:eastAsia="Malgun Gothic" w:hAnsi="Times New Roman" w:cs="Times New Roman"/>
          <w:sz w:val="26"/>
          <w:szCs w:val="26"/>
        </w:rPr>
        <w:t xml:space="preserve">approximately </w:t>
      </w:r>
      <w:r w:rsidR="00C517C4" w:rsidRPr="00D16804">
        <w:rPr>
          <w:rFonts w:ascii="Times New Roman" w:eastAsia="Malgun Gothic" w:hAnsi="Times New Roman" w:cs="Times New Roman"/>
          <w:sz w:val="26"/>
          <w:szCs w:val="26"/>
        </w:rPr>
        <w:t>2000 f</w:t>
      </w:r>
      <w:r w:rsidR="003F0B8D" w:rsidRPr="00D16804">
        <w:rPr>
          <w:rFonts w:ascii="Times New Roman" w:eastAsia="Malgun Gothic" w:hAnsi="Times New Roman" w:cs="Times New Roman"/>
          <w:sz w:val="26"/>
          <w:szCs w:val="26"/>
        </w:rPr>
        <w:t>eet in l</w:t>
      </w:r>
      <w:r w:rsidR="003B3C2B" w:rsidRPr="00D16804">
        <w:rPr>
          <w:rFonts w:ascii="Times New Roman" w:eastAsia="Malgun Gothic" w:hAnsi="Times New Roman" w:cs="Times New Roman"/>
          <w:sz w:val="26"/>
          <w:szCs w:val="26"/>
        </w:rPr>
        <w:t>eng</w:t>
      </w:r>
      <w:r w:rsidR="00107AFC" w:rsidRPr="00D16804">
        <w:rPr>
          <w:rFonts w:ascii="Times New Roman" w:eastAsia="Malgun Gothic" w:hAnsi="Times New Roman" w:cs="Times New Roman"/>
          <w:sz w:val="26"/>
          <w:szCs w:val="26"/>
        </w:rPr>
        <w:t xml:space="preserve">th, </w:t>
      </w:r>
      <w:r w:rsidRPr="00D16804">
        <w:rPr>
          <w:rFonts w:ascii="Times New Roman" w:eastAsia="Malgun Gothic" w:hAnsi="Times New Roman" w:cs="Times New Roman"/>
          <w:sz w:val="26"/>
          <w:szCs w:val="26"/>
        </w:rPr>
        <w:t xml:space="preserve">environmental services, </w:t>
      </w:r>
      <w:r w:rsidR="0035502E" w:rsidRPr="00D16804">
        <w:rPr>
          <w:rFonts w:ascii="Times New Roman" w:eastAsia="Malgun Gothic" w:hAnsi="Times New Roman" w:cs="Times New Roman"/>
          <w:sz w:val="26"/>
          <w:szCs w:val="26"/>
        </w:rPr>
        <w:t xml:space="preserve">and </w:t>
      </w:r>
      <w:r w:rsidRPr="00D16804">
        <w:rPr>
          <w:rFonts w:ascii="Times New Roman" w:eastAsia="Malgun Gothic" w:hAnsi="Times New Roman" w:cs="Times New Roman"/>
          <w:sz w:val="26"/>
          <w:szCs w:val="26"/>
        </w:rPr>
        <w:t xml:space="preserve">Tehachapi Centralized Remedial Action Scheme (CRAS) </w:t>
      </w:r>
      <w:r w:rsidR="0043164E" w:rsidRPr="00D16804">
        <w:rPr>
          <w:rFonts w:ascii="Times New Roman" w:eastAsia="Malgun Gothic" w:hAnsi="Times New Roman" w:cs="Times New Roman"/>
          <w:sz w:val="26"/>
          <w:szCs w:val="26"/>
        </w:rPr>
        <w:t>modifications</w:t>
      </w:r>
      <w:r w:rsidR="00445CA0" w:rsidRPr="00D16804">
        <w:rPr>
          <w:rFonts w:ascii="Times New Roman" w:eastAsia="Malgun Gothic" w:hAnsi="Times New Roman" w:cs="Times New Roman"/>
          <w:sz w:val="26"/>
          <w:szCs w:val="26"/>
        </w:rPr>
        <w:t>.</w:t>
      </w:r>
      <w:r w:rsidR="00234237" w:rsidRPr="00D16804">
        <w:rPr>
          <w:rFonts w:ascii="Times New Roman" w:eastAsia="Malgun Gothic" w:hAnsi="Times New Roman" w:cs="Times New Roman"/>
          <w:sz w:val="26"/>
          <w:szCs w:val="26"/>
        </w:rPr>
        <w:t xml:space="preserve"> </w:t>
      </w:r>
    </w:p>
    <w:p w14:paraId="6BAD06E5" w14:textId="3FABD88E" w:rsidR="00980D12" w:rsidRPr="00D1084B" w:rsidRDefault="00980D12" w:rsidP="00980D12">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w:t>
      </w:r>
      <w:r>
        <w:rPr>
          <w:rFonts w:ascii="Times New Roman" w:eastAsia="Malgun Gothic" w:hAnsi="Times New Roman" w:cs="Times New Roman"/>
          <w:bCs/>
          <w:color w:val="000000" w:themeColor="text1"/>
          <w:sz w:val="26"/>
          <w:szCs w:val="26"/>
        </w:rPr>
        <w:t>6.009</w:t>
      </w:r>
      <w:r w:rsidRPr="00D1084B">
        <w:rPr>
          <w:rFonts w:ascii="Times New Roman" w:eastAsia="Malgun Gothic" w:hAnsi="Times New Roman" w:cs="Times New Roman"/>
          <w:bCs/>
          <w:color w:val="000000" w:themeColor="text1"/>
          <w:sz w:val="26"/>
          <w:szCs w:val="26"/>
        </w:rPr>
        <w:t xml:space="preserve"> million.</w:t>
      </w:r>
    </w:p>
    <w:p w14:paraId="7F84059A" w14:textId="77777777" w:rsidR="004803EE" w:rsidRDefault="004803EE" w:rsidP="00EE1FB9">
      <w:pPr>
        <w:pStyle w:val="StyleHeading1TextLeft0Hanging025"/>
        <w:ind w:left="0" w:firstLine="0"/>
        <w:rPr>
          <w:color w:val="000000" w:themeColor="text1"/>
          <w:sz w:val="26"/>
          <w:szCs w:val="26"/>
        </w:rPr>
      </w:pPr>
    </w:p>
    <w:p w14:paraId="7462A89A" w14:textId="45E6E93D" w:rsidR="00B86431" w:rsidRPr="00D1084B" w:rsidRDefault="00B86431" w:rsidP="00B86431">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A468DE" w:rsidRPr="00A468DE">
        <w:rPr>
          <w:rFonts w:ascii="Times New Roman" w:eastAsia="Times New Roman" w:hAnsi="Times New Roman" w:cs="Times New Roman"/>
          <w:b/>
          <w:bCs/>
          <w:color w:val="000000" w:themeColor="text1"/>
          <w:sz w:val="26"/>
          <w:szCs w:val="26"/>
        </w:rPr>
        <w:t>Sanborn Hybrid 3</w:t>
      </w:r>
      <w:r w:rsidRPr="00D1084B">
        <w:rPr>
          <w:rFonts w:ascii="Times New Roman" w:eastAsia="Times New Roman" w:hAnsi="Times New Roman" w:cs="Times New Roman"/>
          <w:b/>
          <w:bCs/>
          <w:color w:val="000000" w:themeColor="text1"/>
          <w:sz w:val="26"/>
          <w:szCs w:val="26"/>
        </w:rPr>
        <w:t xml:space="preserve"> (PIN: </w:t>
      </w:r>
      <w:r w:rsidR="00A468DE">
        <w:rPr>
          <w:rFonts w:ascii="Times New Roman" w:eastAsia="Times New Roman" w:hAnsi="Times New Roman" w:cs="Times New Roman"/>
          <w:b/>
          <w:bCs/>
          <w:color w:val="000000" w:themeColor="text1"/>
          <w:sz w:val="26"/>
          <w:szCs w:val="26"/>
        </w:rPr>
        <w:t>8342</w:t>
      </w:r>
      <w:r w:rsidRPr="00D1084B">
        <w:rPr>
          <w:rFonts w:ascii="Times New Roman" w:eastAsia="Times New Roman" w:hAnsi="Times New Roman" w:cs="Times New Roman"/>
          <w:b/>
          <w:bCs/>
          <w:color w:val="000000" w:themeColor="text1"/>
          <w:sz w:val="26"/>
          <w:szCs w:val="26"/>
        </w:rPr>
        <w:t>)</w:t>
      </w:r>
    </w:p>
    <w:p w14:paraId="72D3E036" w14:textId="37593F48" w:rsidR="00055F52" w:rsidRPr="00D16804" w:rsidRDefault="00DD6D6E" w:rsidP="00D16804">
      <w:pPr>
        <w:pStyle w:val="ListParagraph"/>
        <w:spacing w:after="0" w:line="360" w:lineRule="auto"/>
        <w:ind w:firstLine="540"/>
        <w:rPr>
          <w:rFonts w:ascii="Times New Roman" w:eastAsia="Malgun Gothic" w:hAnsi="Times New Roman" w:cs="Times New Roman"/>
          <w:sz w:val="26"/>
          <w:szCs w:val="26"/>
        </w:rPr>
      </w:pPr>
      <w:r w:rsidRPr="00D16804">
        <w:rPr>
          <w:rFonts w:ascii="Times New Roman" w:eastAsia="Malgun Gothic" w:hAnsi="Times New Roman" w:cs="Times New Roman"/>
          <w:sz w:val="26"/>
          <w:szCs w:val="26"/>
        </w:rPr>
        <w:t xml:space="preserve">The purpose of the project is to </w:t>
      </w:r>
      <w:r w:rsidR="006149AA" w:rsidRPr="00D16804">
        <w:rPr>
          <w:rFonts w:ascii="Times New Roman" w:eastAsia="Malgun Gothic" w:hAnsi="Times New Roman" w:cs="Times New Roman"/>
          <w:sz w:val="26"/>
          <w:szCs w:val="26"/>
        </w:rPr>
        <w:t>construct</w:t>
      </w:r>
      <w:r w:rsidR="00220114" w:rsidRPr="00D16804">
        <w:rPr>
          <w:rFonts w:ascii="Times New Roman" w:eastAsia="Malgun Gothic" w:hAnsi="Times New Roman" w:cs="Times New Roman"/>
          <w:sz w:val="26"/>
          <w:szCs w:val="26"/>
        </w:rPr>
        <w:t xml:space="preserve"> i</w:t>
      </w:r>
      <w:r w:rsidR="000B5D0A" w:rsidRPr="00D16804">
        <w:rPr>
          <w:rFonts w:ascii="Times New Roman" w:eastAsia="Malgun Gothic" w:hAnsi="Times New Roman" w:cs="Times New Roman"/>
          <w:sz w:val="26"/>
          <w:szCs w:val="26"/>
        </w:rPr>
        <w:t xml:space="preserve">nterconnection facilities needed to interconnect </w:t>
      </w:r>
      <w:r w:rsidR="0040008F" w:rsidRPr="00D16804">
        <w:rPr>
          <w:rFonts w:ascii="Times New Roman" w:eastAsia="Malgun Gothic" w:hAnsi="Times New Roman" w:cs="Times New Roman"/>
          <w:sz w:val="26"/>
          <w:szCs w:val="26"/>
        </w:rPr>
        <w:t>the Sanborn H</w:t>
      </w:r>
      <w:r w:rsidR="00662B00" w:rsidRPr="00D16804">
        <w:rPr>
          <w:rFonts w:ascii="Times New Roman" w:eastAsia="Malgun Gothic" w:hAnsi="Times New Roman" w:cs="Times New Roman"/>
          <w:sz w:val="26"/>
          <w:szCs w:val="26"/>
        </w:rPr>
        <w:t xml:space="preserve">ybrid 3 Project </w:t>
      </w:r>
      <w:r w:rsidR="000B5D0A" w:rsidRPr="00D16804">
        <w:rPr>
          <w:rFonts w:ascii="Times New Roman" w:eastAsia="Malgun Gothic" w:hAnsi="Times New Roman" w:cs="Times New Roman"/>
          <w:sz w:val="26"/>
          <w:szCs w:val="26"/>
        </w:rPr>
        <w:t xml:space="preserve">1,400 MW </w:t>
      </w:r>
      <w:r w:rsidR="00662B00" w:rsidRPr="00D16804">
        <w:rPr>
          <w:rFonts w:ascii="Times New Roman" w:eastAsia="Malgun Gothic" w:hAnsi="Times New Roman" w:cs="Times New Roman"/>
          <w:sz w:val="26"/>
          <w:szCs w:val="26"/>
        </w:rPr>
        <w:t xml:space="preserve">solar </w:t>
      </w:r>
      <w:r w:rsidR="00D16804" w:rsidRPr="00D16804">
        <w:rPr>
          <w:rFonts w:ascii="Times New Roman" w:eastAsia="Malgun Gothic" w:hAnsi="Times New Roman" w:cs="Times New Roman"/>
          <w:sz w:val="26"/>
          <w:szCs w:val="26"/>
        </w:rPr>
        <w:t>photovoltaic</w:t>
      </w:r>
      <w:r w:rsidR="00662B00" w:rsidRPr="00D16804">
        <w:rPr>
          <w:rFonts w:ascii="Times New Roman" w:eastAsia="Malgun Gothic" w:hAnsi="Times New Roman" w:cs="Times New Roman"/>
          <w:sz w:val="26"/>
          <w:szCs w:val="26"/>
        </w:rPr>
        <w:t xml:space="preserve"> and battery energy storage system (BESS) </w:t>
      </w:r>
      <w:r w:rsidR="000B5D0A" w:rsidRPr="00D16804">
        <w:rPr>
          <w:rFonts w:ascii="Times New Roman" w:eastAsia="Malgun Gothic" w:hAnsi="Times New Roman" w:cs="Times New Roman"/>
          <w:sz w:val="26"/>
          <w:szCs w:val="26"/>
        </w:rPr>
        <w:t xml:space="preserve">Project into </w:t>
      </w:r>
      <w:r w:rsidR="00045915" w:rsidRPr="00D16804">
        <w:rPr>
          <w:rFonts w:ascii="Times New Roman" w:eastAsia="Malgun Gothic" w:hAnsi="Times New Roman" w:cs="Times New Roman"/>
          <w:sz w:val="26"/>
          <w:szCs w:val="26"/>
        </w:rPr>
        <w:t xml:space="preserve">the </w:t>
      </w:r>
      <w:r w:rsidR="000B5D0A" w:rsidRPr="00D16804">
        <w:rPr>
          <w:rFonts w:ascii="Times New Roman" w:eastAsia="Malgun Gothic" w:hAnsi="Times New Roman" w:cs="Times New Roman"/>
          <w:sz w:val="26"/>
          <w:szCs w:val="26"/>
        </w:rPr>
        <w:t>Windhub 500 kV</w:t>
      </w:r>
      <w:r w:rsidR="00973D17" w:rsidRPr="00D16804">
        <w:rPr>
          <w:rFonts w:ascii="Times New Roman" w:eastAsia="Malgun Gothic" w:hAnsi="Times New Roman" w:cs="Times New Roman"/>
          <w:sz w:val="26"/>
          <w:szCs w:val="26"/>
        </w:rPr>
        <w:t xml:space="preserve"> bus</w:t>
      </w:r>
      <w:r w:rsidRPr="00D16804">
        <w:rPr>
          <w:rFonts w:ascii="Times New Roman" w:eastAsia="Malgun Gothic" w:hAnsi="Times New Roman" w:cs="Times New Roman"/>
          <w:sz w:val="26"/>
          <w:szCs w:val="26"/>
        </w:rPr>
        <w:t xml:space="preserve">. </w:t>
      </w:r>
      <w:r w:rsidR="006D006E" w:rsidRPr="00D16804">
        <w:rPr>
          <w:rFonts w:ascii="Times New Roman" w:eastAsia="Malgun Gothic" w:hAnsi="Times New Roman" w:cs="Times New Roman"/>
          <w:sz w:val="26"/>
          <w:szCs w:val="26"/>
        </w:rPr>
        <w:t xml:space="preserve">The project scope </w:t>
      </w:r>
      <w:r w:rsidR="00C75F69" w:rsidRPr="00D16804">
        <w:rPr>
          <w:rFonts w:ascii="Times New Roman" w:eastAsia="Malgun Gothic" w:hAnsi="Times New Roman" w:cs="Times New Roman"/>
          <w:sz w:val="26"/>
          <w:szCs w:val="26"/>
        </w:rPr>
        <w:t>in</w:t>
      </w:r>
      <w:r w:rsidR="002C6249" w:rsidRPr="00D16804">
        <w:rPr>
          <w:rFonts w:ascii="Times New Roman" w:eastAsia="Malgun Gothic" w:hAnsi="Times New Roman" w:cs="Times New Roman"/>
          <w:sz w:val="26"/>
          <w:szCs w:val="26"/>
        </w:rPr>
        <w:t>cludes</w:t>
      </w:r>
      <w:r w:rsidR="00C75F69" w:rsidRPr="00D16804">
        <w:rPr>
          <w:rFonts w:ascii="Times New Roman" w:eastAsia="Malgun Gothic" w:hAnsi="Times New Roman" w:cs="Times New Roman"/>
          <w:sz w:val="26"/>
          <w:szCs w:val="26"/>
        </w:rPr>
        <w:t xml:space="preserve"> </w:t>
      </w:r>
      <w:r w:rsidR="00C4186B" w:rsidRPr="00D16804">
        <w:rPr>
          <w:rFonts w:ascii="Times New Roman" w:eastAsia="Malgun Gothic" w:hAnsi="Times New Roman" w:cs="Times New Roman"/>
          <w:sz w:val="26"/>
          <w:szCs w:val="26"/>
        </w:rPr>
        <w:t>constructing</w:t>
      </w:r>
      <w:r w:rsidR="009C2D17" w:rsidRPr="00D16804">
        <w:rPr>
          <w:rFonts w:ascii="Times New Roman" w:eastAsia="Malgun Gothic" w:hAnsi="Times New Roman" w:cs="Times New Roman"/>
          <w:sz w:val="26"/>
          <w:szCs w:val="26"/>
        </w:rPr>
        <w:t xml:space="preserve"> </w:t>
      </w:r>
      <w:r w:rsidR="005D0395" w:rsidRPr="00D16804">
        <w:rPr>
          <w:rFonts w:ascii="Times New Roman" w:eastAsia="Malgun Gothic" w:hAnsi="Times New Roman" w:cs="Times New Roman"/>
          <w:sz w:val="26"/>
          <w:szCs w:val="26"/>
        </w:rPr>
        <w:t>two (2) 500 kV Line positions</w:t>
      </w:r>
      <w:r w:rsidR="00055F52" w:rsidRPr="00D16804">
        <w:rPr>
          <w:rFonts w:ascii="Times New Roman" w:eastAsia="Malgun Gothic" w:hAnsi="Times New Roman" w:cs="Times New Roman"/>
          <w:sz w:val="26"/>
          <w:szCs w:val="26"/>
        </w:rPr>
        <w:t xml:space="preserve">, </w:t>
      </w:r>
      <w:r w:rsidR="00FC20AA" w:rsidRPr="00D16804">
        <w:rPr>
          <w:rFonts w:ascii="Times New Roman" w:eastAsia="Malgun Gothic" w:hAnsi="Times New Roman" w:cs="Times New Roman"/>
          <w:sz w:val="26"/>
          <w:szCs w:val="26"/>
        </w:rPr>
        <w:t xml:space="preserve">two </w:t>
      </w:r>
      <w:r w:rsidR="00055F52" w:rsidRPr="00D16804">
        <w:rPr>
          <w:rFonts w:ascii="Times New Roman" w:eastAsia="Malgun Gothic" w:hAnsi="Times New Roman" w:cs="Times New Roman"/>
          <w:sz w:val="26"/>
          <w:szCs w:val="26"/>
        </w:rPr>
        <w:t xml:space="preserve">new </w:t>
      </w:r>
      <w:r w:rsidR="003F3C42" w:rsidRPr="00D16804">
        <w:rPr>
          <w:rFonts w:ascii="Times New Roman" w:eastAsia="Malgun Gothic" w:hAnsi="Times New Roman" w:cs="Times New Roman"/>
          <w:sz w:val="26"/>
          <w:szCs w:val="26"/>
        </w:rPr>
        <w:t>50</w:t>
      </w:r>
      <w:r w:rsidR="00055F52" w:rsidRPr="00D16804">
        <w:rPr>
          <w:rFonts w:ascii="Times New Roman" w:eastAsia="Malgun Gothic" w:hAnsi="Times New Roman" w:cs="Times New Roman"/>
          <w:sz w:val="26"/>
          <w:szCs w:val="26"/>
        </w:rPr>
        <w:t>0kV transmission Line</w:t>
      </w:r>
      <w:r w:rsidR="003F3C42" w:rsidRPr="00D16804">
        <w:rPr>
          <w:rFonts w:ascii="Times New Roman" w:eastAsia="Malgun Gothic" w:hAnsi="Times New Roman" w:cs="Times New Roman"/>
          <w:sz w:val="26"/>
          <w:szCs w:val="26"/>
        </w:rPr>
        <w:t>s</w:t>
      </w:r>
      <w:r w:rsidR="00055F52" w:rsidRPr="00D16804">
        <w:rPr>
          <w:rFonts w:ascii="Times New Roman" w:eastAsia="Malgun Gothic" w:hAnsi="Times New Roman" w:cs="Times New Roman"/>
          <w:sz w:val="26"/>
          <w:szCs w:val="26"/>
        </w:rPr>
        <w:t xml:space="preserve"> approximately 2000 feet in </w:t>
      </w:r>
      <w:r w:rsidR="003F3C42" w:rsidRPr="00D16804">
        <w:rPr>
          <w:rFonts w:ascii="Times New Roman" w:eastAsia="Malgun Gothic" w:hAnsi="Times New Roman" w:cs="Times New Roman"/>
          <w:sz w:val="26"/>
          <w:szCs w:val="26"/>
        </w:rPr>
        <w:t xml:space="preserve">total </w:t>
      </w:r>
      <w:r w:rsidR="00055F52" w:rsidRPr="00D16804">
        <w:rPr>
          <w:rFonts w:ascii="Times New Roman" w:eastAsia="Malgun Gothic" w:hAnsi="Times New Roman" w:cs="Times New Roman"/>
          <w:sz w:val="26"/>
          <w:szCs w:val="26"/>
        </w:rPr>
        <w:t xml:space="preserve">length, environmental services, and Tehachapi Centralized Remedial Action Scheme (CRAS) modifications. </w:t>
      </w:r>
    </w:p>
    <w:p w14:paraId="2B5F40A4" w14:textId="0B100AA8" w:rsidR="00DD6D6E" w:rsidRPr="00D1084B" w:rsidRDefault="00DD6D6E" w:rsidP="00DD6D6E">
      <w:pPr>
        <w:pStyle w:val="ListParagraph"/>
        <w:spacing w:after="0" w:line="360" w:lineRule="auto"/>
        <w:rPr>
          <w:rFonts w:ascii="Times New Roman" w:eastAsia="Malgun Gothic" w:hAnsi="Times New Roman" w:cs="Times New Roman"/>
          <w:bCs/>
          <w:color w:val="000000" w:themeColor="text1"/>
          <w:sz w:val="26"/>
          <w:szCs w:val="26"/>
        </w:rPr>
      </w:pPr>
    </w:p>
    <w:p w14:paraId="5E5C5550" w14:textId="6C3E10B8" w:rsidR="00B86431" w:rsidRPr="00D1084B" w:rsidRDefault="00B86431" w:rsidP="00B86431">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37316A">
        <w:rPr>
          <w:rFonts w:ascii="Times New Roman" w:eastAsia="Malgun Gothic" w:hAnsi="Times New Roman" w:cs="Times New Roman"/>
          <w:bCs/>
          <w:color w:val="000000" w:themeColor="text1"/>
          <w:sz w:val="26"/>
          <w:szCs w:val="26"/>
        </w:rPr>
        <w:t>9.157</w:t>
      </w:r>
      <w:r w:rsidRPr="00D1084B">
        <w:rPr>
          <w:rFonts w:ascii="Times New Roman" w:eastAsia="Malgun Gothic" w:hAnsi="Times New Roman" w:cs="Times New Roman"/>
          <w:bCs/>
          <w:color w:val="000000" w:themeColor="text1"/>
          <w:sz w:val="26"/>
          <w:szCs w:val="26"/>
        </w:rPr>
        <w:t xml:space="preserve"> million.</w:t>
      </w:r>
    </w:p>
    <w:p w14:paraId="5A50AC02" w14:textId="77777777" w:rsidR="00B8455C" w:rsidRDefault="00B8455C" w:rsidP="00EE1FB9">
      <w:pPr>
        <w:pStyle w:val="StyleHeading1TextLeft0Hanging025"/>
        <w:ind w:left="0" w:firstLine="0"/>
        <w:rPr>
          <w:color w:val="000000" w:themeColor="text1"/>
          <w:sz w:val="26"/>
          <w:szCs w:val="26"/>
        </w:rPr>
      </w:pPr>
    </w:p>
    <w:p w14:paraId="2CF71848" w14:textId="5529C3B4" w:rsidR="00B86431" w:rsidRPr="00D1084B" w:rsidRDefault="00556B1C" w:rsidP="00B86431">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A40C3E" w:rsidRPr="00A40C3E">
        <w:rPr>
          <w:rFonts w:ascii="Times New Roman" w:eastAsia="Times New Roman" w:hAnsi="Times New Roman" w:cs="Times New Roman"/>
          <w:b/>
          <w:bCs/>
          <w:color w:val="000000" w:themeColor="text1"/>
          <w:sz w:val="26"/>
          <w:szCs w:val="26"/>
        </w:rPr>
        <w:t>Goldback Solar Center</w:t>
      </w:r>
      <w:r w:rsidR="00B86431" w:rsidRPr="00D1084B">
        <w:rPr>
          <w:rFonts w:ascii="Times New Roman" w:eastAsia="Times New Roman" w:hAnsi="Times New Roman" w:cs="Times New Roman"/>
          <w:b/>
          <w:bCs/>
          <w:color w:val="000000" w:themeColor="text1"/>
          <w:sz w:val="26"/>
          <w:szCs w:val="26"/>
        </w:rPr>
        <w:t xml:space="preserve"> (PIN: </w:t>
      </w:r>
      <w:r w:rsidR="00A468DE">
        <w:rPr>
          <w:rFonts w:ascii="Times New Roman" w:eastAsia="Times New Roman" w:hAnsi="Times New Roman" w:cs="Times New Roman"/>
          <w:b/>
          <w:bCs/>
          <w:color w:val="000000" w:themeColor="text1"/>
          <w:sz w:val="26"/>
          <w:szCs w:val="26"/>
        </w:rPr>
        <w:t>8398</w:t>
      </w:r>
      <w:r w:rsidR="00B86431" w:rsidRPr="00D1084B">
        <w:rPr>
          <w:rFonts w:ascii="Times New Roman" w:eastAsia="Times New Roman" w:hAnsi="Times New Roman" w:cs="Times New Roman"/>
          <w:b/>
          <w:bCs/>
          <w:color w:val="000000" w:themeColor="text1"/>
          <w:sz w:val="26"/>
          <w:szCs w:val="26"/>
        </w:rPr>
        <w:t>)</w:t>
      </w:r>
    </w:p>
    <w:p w14:paraId="61EF0B29" w14:textId="04141781" w:rsidR="00B86431" w:rsidRPr="00D1084B" w:rsidRDefault="006B0137" w:rsidP="6FD4E809">
      <w:pPr>
        <w:pStyle w:val="ListParagraph"/>
        <w:spacing w:after="0" w:line="360" w:lineRule="auto"/>
        <w:rPr>
          <w:rFonts w:ascii="Times New Roman" w:eastAsia="Malgun Gothic" w:hAnsi="Times New Roman" w:cs="Times New Roman"/>
          <w:sz w:val="26"/>
          <w:szCs w:val="26"/>
        </w:rPr>
      </w:pPr>
      <w:r>
        <w:rPr>
          <w:rFonts w:ascii="Times New Roman" w:eastAsia="Malgun Gothic" w:hAnsi="Times New Roman" w:cs="Times New Roman"/>
          <w:sz w:val="26"/>
          <w:szCs w:val="26"/>
        </w:rPr>
        <w:tab/>
      </w:r>
      <w:r w:rsidR="6D1E3705" w:rsidRPr="5F32BC44">
        <w:rPr>
          <w:rFonts w:ascii="Times New Roman" w:eastAsia="Malgun Gothic" w:hAnsi="Times New Roman" w:cs="Times New Roman"/>
          <w:sz w:val="26"/>
          <w:szCs w:val="26"/>
        </w:rPr>
        <w:t xml:space="preserve">The project's purpose is to interconnect a new </w:t>
      </w:r>
      <w:r w:rsidR="6D1E3705" w:rsidRPr="19C5732A">
        <w:rPr>
          <w:rFonts w:ascii="Times New Roman" w:eastAsia="Malgun Gothic" w:hAnsi="Times New Roman" w:cs="Times New Roman"/>
          <w:sz w:val="26"/>
          <w:szCs w:val="26"/>
        </w:rPr>
        <w:t>500</w:t>
      </w:r>
      <w:r w:rsidR="68A1B523" w:rsidRPr="19C5732A">
        <w:rPr>
          <w:rFonts w:ascii="Times New Roman" w:eastAsia="Malgun Gothic" w:hAnsi="Times New Roman" w:cs="Times New Roman"/>
          <w:sz w:val="26"/>
          <w:szCs w:val="26"/>
        </w:rPr>
        <w:t xml:space="preserve"> </w:t>
      </w:r>
      <w:r w:rsidR="6D1E3705" w:rsidRPr="19C5732A">
        <w:rPr>
          <w:rFonts w:ascii="Times New Roman" w:eastAsia="Malgun Gothic" w:hAnsi="Times New Roman" w:cs="Times New Roman"/>
          <w:sz w:val="26"/>
          <w:szCs w:val="26"/>
        </w:rPr>
        <w:t>MW</w:t>
      </w:r>
      <w:r w:rsidR="6D1E3705" w:rsidRPr="5F32BC44">
        <w:rPr>
          <w:rFonts w:ascii="Times New Roman" w:eastAsia="Malgun Gothic" w:hAnsi="Times New Roman" w:cs="Times New Roman"/>
          <w:sz w:val="26"/>
          <w:szCs w:val="26"/>
        </w:rPr>
        <w:t xml:space="preserve"> Hybrid solar photovoltaic/battery energy storage system (BESS) facility into a new position at the Moorpark 220 kV Substation.</w:t>
      </w:r>
      <w:r w:rsidR="00DD6D6E" w:rsidRPr="5F32BC44">
        <w:rPr>
          <w:rFonts w:ascii="Times New Roman" w:eastAsia="Malgun Gothic" w:hAnsi="Times New Roman" w:cs="Times New Roman"/>
          <w:sz w:val="26"/>
          <w:szCs w:val="26"/>
        </w:rPr>
        <w:t xml:space="preserve"> </w:t>
      </w:r>
      <w:r w:rsidR="2FE16D80" w:rsidRPr="5F32BC44">
        <w:rPr>
          <w:rFonts w:ascii="Times New Roman" w:eastAsia="Malgun Gothic" w:hAnsi="Times New Roman" w:cs="Times New Roman"/>
          <w:sz w:val="26"/>
          <w:szCs w:val="26"/>
        </w:rPr>
        <w:t>The project scope includes</w:t>
      </w:r>
      <w:r w:rsidR="27D9E040" w:rsidRPr="6FD4E809">
        <w:rPr>
          <w:rFonts w:ascii="Times New Roman" w:eastAsia="Malgun Gothic" w:hAnsi="Times New Roman" w:cs="Times New Roman"/>
          <w:sz w:val="26"/>
          <w:szCs w:val="26"/>
        </w:rPr>
        <w:t>:</w:t>
      </w:r>
    </w:p>
    <w:p w14:paraId="2C7A53A6" w14:textId="45573896" w:rsidR="00B86431" w:rsidRPr="00D1084B" w:rsidRDefault="082F8A6B" w:rsidP="3AE69EF3">
      <w:pPr>
        <w:pStyle w:val="ListParagraph"/>
        <w:numPr>
          <w:ilvl w:val="1"/>
          <w:numId w:val="4"/>
        </w:numPr>
        <w:spacing w:after="0" w:line="360" w:lineRule="auto"/>
        <w:rPr>
          <w:rFonts w:ascii="Times New Roman" w:eastAsia="Malgun Gothic" w:hAnsi="Times New Roman" w:cs="Times New Roman"/>
          <w:sz w:val="26"/>
          <w:szCs w:val="26"/>
        </w:rPr>
      </w:pPr>
      <w:r w:rsidRPr="05C70552">
        <w:rPr>
          <w:rFonts w:ascii="Times New Roman" w:eastAsia="Malgun Gothic" w:hAnsi="Times New Roman" w:cs="Times New Roman"/>
          <w:sz w:val="26"/>
          <w:szCs w:val="26"/>
        </w:rPr>
        <w:t>I</w:t>
      </w:r>
      <w:r w:rsidR="00034F39" w:rsidRPr="05C70552">
        <w:rPr>
          <w:rFonts w:ascii="Times New Roman" w:eastAsia="Malgun Gothic" w:hAnsi="Times New Roman" w:cs="Times New Roman"/>
          <w:sz w:val="26"/>
          <w:szCs w:val="26"/>
        </w:rPr>
        <w:t>nstall</w:t>
      </w:r>
      <w:r w:rsidR="00034F39" w:rsidRPr="3AE69EF3">
        <w:rPr>
          <w:rFonts w:ascii="Times New Roman" w:eastAsia="Malgun Gothic" w:hAnsi="Times New Roman" w:cs="Times New Roman"/>
          <w:sz w:val="26"/>
          <w:szCs w:val="26"/>
        </w:rPr>
        <w:t xml:space="preserve"> new </w:t>
      </w:r>
      <w:r w:rsidR="3F79700A" w:rsidRPr="3AE69EF3">
        <w:rPr>
          <w:rFonts w:ascii="Times New Roman" w:eastAsia="Times New Roman" w:hAnsi="Times New Roman" w:cs="Times New Roman"/>
          <w:sz w:val="24"/>
          <w:szCs w:val="24"/>
        </w:rPr>
        <w:t>circuit breakers, new dead-end structures</w:t>
      </w:r>
      <w:r w:rsidR="6BBD0705" w:rsidRPr="3AE69EF3">
        <w:rPr>
          <w:rFonts w:ascii="Times New Roman" w:eastAsia="Times New Roman" w:hAnsi="Times New Roman" w:cs="Times New Roman"/>
          <w:sz w:val="24"/>
          <w:szCs w:val="24"/>
        </w:rPr>
        <w:t>, relays</w:t>
      </w:r>
      <w:r w:rsidR="3F79700A" w:rsidRPr="3AE69EF3">
        <w:rPr>
          <w:rFonts w:ascii="Times New Roman" w:eastAsia="Times New Roman" w:hAnsi="Times New Roman" w:cs="Times New Roman"/>
          <w:sz w:val="24"/>
          <w:szCs w:val="24"/>
        </w:rPr>
        <w:t xml:space="preserve"> and associated </w:t>
      </w:r>
      <w:r w:rsidR="2FE16D80" w:rsidRPr="3AE69EF3">
        <w:rPr>
          <w:rFonts w:ascii="Times New Roman" w:eastAsia="Times New Roman" w:hAnsi="Times New Roman" w:cs="Times New Roman"/>
          <w:sz w:val="24"/>
          <w:szCs w:val="24"/>
        </w:rPr>
        <w:t xml:space="preserve">facilities to equip a new 220 kV switch rack position to terminate </w:t>
      </w:r>
      <w:r w:rsidR="4D203B13" w:rsidRPr="3AE69EF3">
        <w:rPr>
          <w:rFonts w:ascii="Times New Roman" w:eastAsia="Times New Roman" w:hAnsi="Times New Roman" w:cs="Times New Roman"/>
          <w:sz w:val="24"/>
          <w:szCs w:val="24"/>
        </w:rPr>
        <w:t xml:space="preserve">a new 220kV </w:t>
      </w:r>
      <w:r w:rsidR="2FE16D80" w:rsidRPr="3AE69EF3">
        <w:rPr>
          <w:rFonts w:ascii="Times New Roman" w:eastAsia="Times New Roman" w:hAnsi="Times New Roman" w:cs="Times New Roman"/>
          <w:sz w:val="24"/>
          <w:szCs w:val="24"/>
        </w:rPr>
        <w:t>Generation Tie-Line</w:t>
      </w:r>
      <w:r w:rsidR="732ADB46" w:rsidRPr="3AE69EF3">
        <w:rPr>
          <w:rFonts w:ascii="Times New Roman" w:eastAsia="Times New Roman" w:hAnsi="Times New Roman" w:cs="Times New Roman"/>
          <w:sz w:val="24"/>
          <w:szCs w:val="24"/>
        </w:rPr>
        <w:t>.</w:t>
      </w:r>
    </w:p>
    <w:p w14:paraId="010A49A5" w14:textId="0DFC9379" w:rsidR="00B86431" w:rsidRPr="00D1084B" w:rsidRDefault="518B0B3B" w:rsidP="3AE69EF3">
      <w:pPr>
        <w:pStyle w:val="ListParagraph"/>
        <w:numPr>
          <w:ilvl w:val="1"/>
          <w:numId w:val="4"/>
        </w:numPr>
        <w:spacing w:after="0" w:line="360" w:lineRule="auto"/>
        <w:rPr>
          <w:rFonts w:ascii="Times New Roman" w:eastAsia="Malgun Gothic" w:hAnsi="Times New Roman" w:cs="Times New Roman"/>
          <w:sz w:val="26"/>
          <w:szCs w:val="26"/>
        </w:rPr>
      </w:pPr>
      <w:r w:rsidRPr="05C70552">
        <w:rPr>
          <w:rFonts w:ascii="Times New Roman" w:eastAsia="Malgun Gothic" w:hAnsi="Times New Roman" w:cs="Times New Roman"/>
          <w:sz w:val="26"/>
          <w:szCs w:val="26"/>
        </w:rPr>
        <w:t>Install</w:t>
      </w:r>
      <w:r w:rsidR="5E4098FE" w:rsidRPr="3AE69EF3">
        <w:rPr>
          <w:rFonts w:ascii="Times New Roman" w:eastAsia="Malgun Gothic" w:hAnsi="Times New Roman" w:cs="Times New Roman"/>
          <w:sz w:val="26"/>
          <w:szCs w:val="26"/>
        </w:rPr>
        <w:t xml:space="preserve"> </w:t>
      </w:r>
      <w:r w:rsidRPr="3AE69EF3">
        <w:rPr>
          <w:rFonts w:ascii="Times New Roman" w:eastAsia="Malgun Gothic" w:hAnsi="Times New Roman" w:cs="Times New Roman"/>
          <w:sz w:val="26"/>
          <w:szCs w:val="26"/>
        </w:rPr>
        <w:t xml:space="preserve">a new 220kV gen-tie line </w:t>
      </w:r>
      <w:r w:rsidR="6BA78E64" w:rsidRPr="3AE69EF3">
        <w:rPr>
          <w:rFonts w:ascii="Times New Roman" w:eastAsia="Malgun Gothic" w:hAnsi="Times New Roman" w:cs="Times New Roman"/>
          <w:sz w:val="26"/>
          <w:szCs w:val="26"/>
        </w:rPr>
        <w:t xml:space="preserve">consisting </w:t>
      </w:r>
      <w:r w:rsidR="08590E5C" w:rsidRPr="3AE69EF3">
        <w:rPr>
          <w:rFonts w:ascii="Times New Roman" w:eastAsia="Malgun Gothic" w:hAnsi="Times New Roman" w:cs="Times New Roman"/>
          <w:sz w:val="26"/>
          <w:szCs w:val="26"/>
        </w:rPr>
        <w:t>of 220</w:t>
      </w:r>
      <w:r w:rsidR="003A218C" w:rsidRPr="3AE69EF3">
        <w:rPr>
          <w:rFonts w:ascii="Times New Roman" w:eastAsia="Malgun Gothic" w:hAnsi="Times New Roman" w:cs="Times New Roman"/>
          <w:sz w:val="26"/>
          <w:szCs w:val="26"/>
        </w:rPr>
        <w:t xml:space="preserve"> kV transmission tower structures, including insulator/hardware assemblies, and appropriate number of spans of conductor </w:t>
      </w:r>
      <w:r w:rsidR="6F01C2C1" w:rsidRPr="3AE69EF3">
        <w:rPr>
          <w:rFonts w:ascii="Times New Roman" w:eastAsia="Malgun Gothic" w:hAnsi="Times New Roman" w:cs="Times New Roman"/>
          <w:sz w:val="26"/>
          <w:szCs w:val="26"/>
        </w:rPr>
        <w:t>from the</w:t>
      </w:r>
      <w:r w:rsidR="003A218C" w:rsidRPr="3AE69EF3">
        <w:rPr>
          <w:rFonts w:ascii="Times New Roman" w:eastAsia="Malgun Gothic" w:hAnsi="Times New Roman" w:cs="Times New Roman"/>
          <w:sz w:val="26"/>
          <w:szCs w:val="26"/>
        </w:rPr>
        <w:t xml:space="preserve"> </w:t>
      </w:r>
      <w:r w:rsidR="16D036DC" w:rsidRPr="3AE69EF3">
        <w:rPr>
          <w:rFonts w:ascii="Times New Roman" w:eastAsia="Malgun Gothic" w:hAnsi="Times New Roman" w:cs="Times New Roman"/>
          <w:sz w:val="26"/>
          <w:szCs w:val="26"/>
        </w:rPr>
        <w:t>customers POCO or l</w:t>
      </w:r>
      <w:r w:rsidR="003A218C" w:rsidRPr="3AE69EF3">
        <w:rPr>
          <w:rFonts w:ascii="Times New Roman" w:eastAsia="Malgun Gothic" w:hAnsi="Times New Roman" w:cs="Times New Roman"/>
          <w:sz w:val="26"/>
          <w:szCs w:val="26"/>
        </w:rPr>
        <w:t xml:space="preserve">ast Structure </w:t>
      </w:r>
      <w:r w:rsidR="7E7448C4" w:rsidRPr="3AE69EF3">
        <w:rPr>
          <w:rFonts w:ascii="Times New Roman" w:eastAsia="Malgun Gothic" w:hAnsi="Times New Roman" w:cs="Times New Roman"/>
          <w:sz w:val="26"/>
          <w:szCs w:val="26"/>
        </w:rPr>
        <w:t>to</w:t>
      </w:r>
      <w:r w:rsidR="003A218C" w:rsidRPr="3AE69EF3">
        <w:rPr>
          <w:rFonts w:ascii="Times New Roman" w:eastAsia="Malgun Gothic" w:hAnsi="Times New Roman" w:cs="Times New Roman"/>
          <w:sz w:val="26"/>
          <w:szCs w:val="26"/>
        </w:rPr>
        <w:t xml:space="preserve"> the </w:t>
      </w:r>
      <w:r w:rsidR="22D9AC91" w:rsidRPr="3AE69EF3">
        <w:rPr>
          <w:rFonts w:ascii="Times New Roman" w:eastAsia="Malgun Gothic" w:hAnsi="Times New Roman" w:cs="Times New Roman"/>
          <w:sz w:val="26"/>
          <w:szCs w:val="26"/>
        </w:rPr>
        <w:t xml:space="preserve">220kV </w:t>
      </w:r>
      <w:r w:rsidR="003A218C" w:rsidRPr="3AE69EF3">
        <w:rPr>
          <w:rFonts w:ascii="Times New Roman" w:eastAsia="Malgun Gothic" w:hAnsi="Times New Roman" w:cs="Times New Roman"/>
          <w:sz w:val="26"/>
          <w:szCs w:val="26"/>
        </w:rPr>
        <w:t>dead-</w:t>
      </w:r>
      <w:r w:rsidR="0E5CB807" w:rsidRPr="3AE69EF3">
        <w:rPr>
          <w:rFonts w:ascii="Times New Roman" w:eastAsia="Malgun Gothic" w:hAnsi="Times New Roman" w:cs="Times New Roman"/>
          <w:sz w:val="26"/>
          <w:szCs w:val="26"/>
        </w:rPr>
        <w:t>end structure</w:t>
      </w:r>
      <w:r w:rsidR="003A218C" w:rsidRPr="3AE69EF3">
        <w:rPr>
          <w:rFonts w:ascii="Times New Roman" w:eastAsia="Malgun Gothic" w:hAnsi="Times New Roman" w:cs="Times New Roman"/>
          <w:sz w:val="26"/>
          <w:szCs w:val="26"/>
        </w:rPr>
        <w:t xml:space="preserve"> at Moorpark Substation.</w:t>
      </w:r>
      <w:r w:rsidR="0071502B" w:rsidRPr="3AE69EF3">
        <w:rPr>
          <w:rFonts w:ascii="Times New Roman" w:eastAsia="Malgun Gothic" w:hAnsi="Times New Roman" w:cs="Times New Roman"/>
          <w:sz w:val="26"/>
          <w:szCs w:val="26"/>
        </w:rPr>
        <w:t xml:space="preserve"> </w:t>
      </w:r>
    </w:p>
    <w:p w14:paraId="07CB0ADE" w14:textId="66BD5AC8" w:rsidR="00B86431" w:rsidRPr="00D1084B" w:rsidRDefault="0071502B" w:rsidP="3AE69EF3">
      <w:pPr>
        <w:pStyle w:val="ListParagraph"/>
        <w:numPr>
          <w:ilvl w:val="1"/>
          <w:numId w:val="4"/>
        </w:numPr>
        <w:spacing w:after="0" w:line="360" w:lineRule="auto"/>
        <w:rPr>
          <w:rFonts w:ascii="Times New Roman" w:eastAsia="Malgun Gothic" w:hAnsi="Times New Roman" w:cs="Times New Roman"/>
          <w:sz w:val="26"/>
          <w:szCs w:val="26"/>
        </w:rPr>
      </w:pPr>
      <w:r w:rsidRPr="3AE69EF3">
        <w:rPr>
          <w:rFonts w:ascii="Times New Roman" w:eastAsia="Malgun Gothic" w:hAnsi="Times New Roman" w:cs="Times New Roman"/>
          <w:sz w:val="26"/>
          <w:szCs w:val="26"/>
        </w:rPr>
        <w:t xml:space="preserve">Install </w:t>
      </w:r>
      <w:r w:rsidR="16A97836" w:rsidRPr="3AE69EF3">
        <w:rPr>
          <w:rFonts w:ascii="Times New Roman" w:eastAsia="Malgun Gothic" w:hAnsi="Times New Roman" w:cs="Times New Roman"/>
          <w:sz w:val="26"/>
          <w:szCs w:val="26"/>
        </w:rPr>
        <w:t xml:space="preserve">dual fiber communication path between the </w:t>
      </w:r>
      <w:r w:rsidRPr="3AE69EF3">
        <w:rPr>
          <w:rFonts w:ascii="Times New Roman" w:eastAsia="Malgun Gothic" w:hAnsi="Times New Roman" w:cs="Times New Roman"/>
          <w:sz w:val="26"/>
          <w:szCs w:val="26"/>
        </w:rPr>
        <w:t>customers</w:t>
      </w:r>
      <w:r w:rsidR="16A97836" w:rsidRPr="3AE69EF3">
        <w:rPr>
          <w:rFonts w:ascii="Times New Roman" w:eastAsia="Malgun Gothic" w:hAnsi="Times New Roman" w:cs="Times New Roman"/>
          <w:sz w:val="26"/>
          <w:szCs w:val="26"/>
        </w:rPr>
        <w:t xml:space="preserve"> facility and Moorpark substation communication room. </w:t>
      </w:r>
    </w:p>
    <w:p w14:paraId="2B0F9BD0" w14:textId="03E69A78" w:rsidR="00B86431" w:rsidRPr="00D1084B" w:rsidRDefault="16A97836" w:rsidP="3AE69EF3">
      <w:pPr>
        <w:pStyle w:val="ListParagraph"/>
        <w:numPr>
          <w:ilvl w:val="1"/>
          <w:numId w:val="4"/>
        </w:numPr>
        <w:spacing w:after="0" w:line="360" w:lineRule="auto"/>
        <w:rPr>
          <w:rFonts w:ascii="Times New Roman" w:eastAsia="Malgun Gothic" w:hAnsi="Times New Roman" w:cs="Times New Roman"/>
          <w:sz w:val="26"/>
          <w:szCs w:val="26"/>
        </w:rPr>
      </w:pPr>
      <w:r w:rsidRPr="3AE69EF3">
        <w:rPr>
          <w:rFonts w:ascii="Times New Roman" w:eastAsia="Malgun Gothic" w:hAnsi="Times New Roman" w:cs="Times New Roman"/>
          <w:sz w:val="26"/>
          <w:szCs w:val="26"/>
        </w:rPr>
        <w:t>Install a new Moorpark CRAS</w:t>
      </w:r>
    </w:p>
    <w:p w14:paraId="19D9047E" w14:textId="1BF535D5" w:rsidR="00B86431" w:rsidRPr="00D1084B" w:rsidRDefault="562E04D2" w:rsidP="3AE69EF3">
      <w:pPr>
        <w:pStyle w:val="ListParagraph"/>
        <w:numPr>
          <w:ilvl w:val="1"/>
          <w:numId w:val="4"/>
        </w:numPr>
        <w:spacing w:after="0" w:line="360" w:lineRule="auto"/>
        <w:rPr>
          <w:rFonts w:ascii="Times New Roman" w:eastAsia="Malgun Gothic" w:hAnsi="Times New Roman" w:cs="Times New Roman"/>
          <w:sz w:val="26"/>
          <w:szCs w:val="26"/>
        </w:rPr>
      </w:pPr>
      <w:r w:rsidRPr="3AE69EF3">
        <w:rPr>
          <w:rFonts w:ascii="Times New Roman" w:eastAsia="Malgun Gothic" w:hAnsi="Times New Roman" w:cs="Times New Roman"/>
          <w:sz w:val="26"/>
          <w:szCs w:val="26"/>
        </w:rPr>
        <w:lastRenderedPageBreak/>
        <w:t>Install new</w:t>
      </w:r>
      <w:r w:rsidR="59A52484" w:rsidRPr="3AE69EF3">
        <w:rPr>
          <w:rFonts w:ascii="Times New Roman" w:eastAsia="Malgun Gothic" w:hAnsi="Times New Roman" w:cs="Times New Roman"/>
          <w:sz w:val="26"/>
          <w:szCs w:val="26"/>
        </w:rPr>
        <w:t xml:space="preserve"> communication</w:t>
      </w:r>
      <w:r w:rsidR="4ECABD2F" w:rsidRPr="3AE69EF3">
        <w:rPr>
          <w:rFonts w:ascii="Times New Roman" w:eastAsia="Malgun Gothic" w:hAnsi="Times New Roman" w:cs="Times New Roman"/>
          <w:sz w:val="26"/>
          <w:szCs w:val="26"/>
        </w:rPr>
        <w:t xml:space="preserve"> equipment</w:t>
      </w:r>
      <w:r w:rsidR="3ABCBA13" w:rsidRPr="3AE69EF3">
        <w:rPr>
          <w:rFonts w:ascii="Times New Roman" w:eastAsia="Malgun Gothic" w:hAnsi="Times New Roman" w:cs="Times New Roman"/>
          <w:sz w:val="26"/>
          <w:szCs w:val="26"/>
        </w:rPr>
        <w:t>, metering</w:t>
      </w:r>
      <w:r w:rsidR="4ECABD2F" w:rsidRPr="3AE69EF3">
        <w:rPr>
          <w:rFonts w:ascii="Times New Roman" w:eastAsia="Malgun Gothic" w:hAnsi="Times New Roman" w:cs="Times New Roman"/>
          <w:sz w:val="26"/>
          <w:szCs w:val="26"/>
        </w:rPr>
        <w:t xml:space="preserve"> and a new RTU on the customer's site</w:t>
      </w:r>
      <w:r w:rsidR="4E9C2EDE" w:rsidRPr="3AE69EF3">
        <w:rPr>
          <w:rFonts w:ascii="Times New Roman" w:eastAsia="Malgun Gothic" w:hAnsi="Times New Roman" w:cs="Times New Roman"/>
          <w:sz w:val="26"/>
          <w:szCs w:val="26"/>
        </w:rPr>
        <w:t xml:space="preserve">. </w:t>
      </w:r>
    </w:p>
    <w:p w14:paraId="15A42F1C" w14:textId="1E49AD80" w:rsidR="00B86431" w:rsidRPr="005A2746" w:rsidRDefault="00B86431" w:rsidP="5F32BC44">
      <w:pPr>
        <w:spacing w:after="0" w:line="360" w:lineRule="auto"/>
        <w:ind w:left="720"/>
        <w:contextualSpacing/>
        <w:rPr>
          <w:rFonts w:ascii="Times New Roman" w:eastAsia="Malgun Gothic" w:hAnsi="Times New Roman" w:cs="Times New Roman"/>
          <w:color w:val="000000" w:themeColor="text1"/>
          <w:sz w:val="26"/>
          <w:szCs w:val="26"/>
        </w:rPr>
      </w:pPr>
      <w:r w:rsidRPr="5F32BC44">
        <w:rPr>
          <w:rFonts w:ascii="Times New Roman" w:eastAsia="Malgun Gothic" w:hAnsi="Times New Roman" w:cs="Times New Roman"/>
          <w:sz w:val="26"/>
          <w:szCs w:val="26"/>
        </w:rPr>
        <w:t>The estimated ISO-related direct capital expenditures that are projected to</w:t>
      </w:r>
      <w:r w:rsidRPr="48FFC724">
        <w:rPr>
          <w:rFonts w:ascii="Times New Roman" w:eastAsia="Malgun Gothic" w:hAnsi="Times New Roman" w:cs="Times New Roman"/>
          <w:sz w:val="26"/>
          <w:szCs w:val="26"/>
        </w:rPr>
        <w:t xml:space="preserve"> go into rate base during this period are $</w:t>
      </w:r>
      <w:r w:rsidR="0037316A" w:rsidRPr="48FFC724">
        <w:rPr>
          <w:rFonts w:ascii="Times New Roman" w:eastAsia="Malgun Gothic" w:hAnsi="Times New Roman" w:cs="Times New Roman"/>
          <w:sz w:val="26"/>
          <w:szCs w:val="26"/>
        </w:rPr>
        <w:t>6.688</w:t>
      </w:r>
      <w:r w:rsidRPr="48FFC724">
        <w:rPr>
          <w:rFonts w:ascii="Times New Roman" w:eastAsia="Malgun Gothic" w:hAnsi="Times New Roman" w:cs="Times New Roman"/>
          <w:sz w:val="26"/>
          <w:szCs w:val="26"/>
        </w:rPr>
        <w:t xml:space="preserve"> million.</w:t>
      </w:r>
    </w:p>
    <w:p w14:paraId="2E6D6B86" w14:textId="77777777" w:rsidR="00B8455C" w:rsidRDefault="00B8455C" w:rsidP="00EE1FB9">
      <w:pPr>
        <w:pStyle w:val="StyleHeading1TextLeft0Hanging025"/>
        <w:ind w:left="0" w:firstLine="0"/>
        <w:rPr>
          <w:color w:val="000000" w:themeColor="text1"/>
          <w:sz w:val="26"/>
          <w:szCs w:val="26"/>
        </w:rPr>
      </w:pPr>
    </w:p>
    <w:p w14:paraId="5872F789" w14:textId="3E45A3F0" w:rsidR="00777260" w:rsidRPr="00D1084B" w:rsidRDefault="00556B1C" w:rsidP="00777260">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777260" w:rsidRPr="00D1084B">
        <w:rPr>
          <w:rFonts w:ascii="Times New Roman" w:eastAsia="Times New Roman" w:hAnsi="Times New Roman" w:cs="Times New Roman"/>
          <w:b/>
          <w:bCs/>
          <w:color w:val="000000" w:themeColor="text1"/>
          <w:sz w:val="26"/>
          <w:szCs w:val="26"/>
        </w:rPr>
        <w:t>Laguna Bell-Mesa No. 1 230 kV Line Rating Increase Project (PIN 8448)</w:t>
      </w:r>
    </w:p>
    <w:p w14:paraId="4D8F2779" w14:textId="070DCB88" w:rsidR="00777260" w:rsidRPr="00D1084B" w:rsidRDefault="00777260" w:rsidP="00777260">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Reconductor Laguna Bell-Mesa 230 kV No. 1 Line to Aluminum Conductor Composite Core Forth Worth, or equivalent High Temperature Low Sag conductor. Upgrade the Laguna Bell-Mesa No. 1 230 kV Line terminal equipment in Position 11 </w:t>
      </w:r>
      <w:r w:rsidR="00F31F97">
        <w:rPr>
          <w:rFonts w:ascii="Times New Roman" w:eastAsia="Malgun Gothic" w:hAnsi="Times New Roman" w:cs="Times New Roman"/>
          <w:bCs/>
          <w:color w:val="000000" w:themeColor="text1"/>
          <w:sz w:val="26"/>
          <w:szCs w:val="26"/>
        </w:rPr>
        <w:t xml:space="preserve">and </w:t>
      </w:r>
      <w:r w:rsidR="00A971A9">
        <w:rPr>
          <w:rFonts w:ascii="Times New Roman" w:eastAsia="Malgun Gothic" w:hAnsi="Times New Roman" w:cs="Times New Roman"/>
          <w:bCs/>
          <w:color w:val="000000" w:themeColor="text1"/>
          <w:sz w:val="26"/>
          <w:szCs w:val="26"/>
        </w:rPr>
        <w:t>upgrade</w:t>
      </w:r>
      <w:r w:rsidR="00F31F97">
        <w:rPr>
          <w:rFonts w:ascii="Times New Roman" w:eastAsia="Malgun Gothic" w:hAnsi="Times New Roman" w:cs="Times New Roman"/>
          <w:bCs/>
          <w:color w:val="000000" w:themeColor="text1"/>
          <w:sz w:val="26"/>
          <w:szCs w:val="26"/>
        </w:rPr>
        <w:t xml:space="preserve"> the</w:t>
      </w:r>
      <w:r w:rsidR="00235209">
        <w:rPr>
          <w:rFonts w:ascii="Times New Roman" w:eastAsia="Malgun Gothic" w:hAnsi="Times New Roman" w:cs="Times New Roman"/>
          <w:bCs/>
          <w:color w:val="000000" w:themeColor="text1"/>
          <w:sz w:val="26"/>
          <w:szCs w:val="26"/>
        </w:rPr>
        <w:t xml:space="preserve"> </w:t>
      </w:r>
      <w:r w:rsidR="00F31F97">
        <w:rPr>
          <w:rFonts w:ascii="Times New Roman" w:eastAsia="Malgun Gothic" w:hAnsi="Times New Roman" w:cs="Times New Roman"/>
          <w:bCs/>
          <w:color w:val="000000" w:themeColor="text1"/>
          <w:sz w:val="26"/>
          <w:szCs w:val="26"/>
        </w:rPr>
        <w:t xml:space="preserve">230 kV Bus </w:t>
      </w:r>
      <w:r w:rsidRPr="00D1084B">
        <w:rPr>
          <w:rFonts w:ascii="Times New Roman" w:eastAsia="Malgun Gothic" w:hAnsi="Times New Roman" w:cs="Times New Roman"/>
          <w:bCs/>
          <w:color w:val="000000" w:themeColor="text1"/>
          <w:sz w:val="26"/>
          <w:szCs w:val="26"/>
        </w:rPr>
        <w:t>at Laguna Bell Substation to achieve rating increase to 3250/4760 Amps SN/SE.</w:t>
      </w:r>
    </w:p>
    <w:p w14:paraId="07EA2B98" w14:textId="7DCA2F5C" w:rsidR="00777260" w:rsidRPr="00D1084B" w:rsidRDefault="00777260" w:rsidP="00777260">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37316A">
        <w:rPr>
          <w:rFonts w:ascii="Times New Roman" w:eastAsia="Malgun Gothic" w:hAnsi="Times New Roman" w:cs="Times New Roman"/>
          <w:bCs/>
          <w:color w:val="000000" w:themeColor="text1"/>
          <w:sz w:val="26"/>
          <w:szCs w:val="26"/>
        </w:rPr>
        <w:t>16.712</w:t>
      </w:r>
      <w:r w:rsidRPr="00D1084B">
        <w:rPr>
          <w:rFonts w:ascii="Times New Roman" w:eastAsia="Malgun Gothic" w:hAnsi="Times New Roman" w:cs="Times New Roman"/>
          <w:bCs/>
          <w:color w:val="000000" w:themeColor="text1"/>
          <w:sz w:val="26"/>
          <w:szCs w:val="26"/>
        </w:rPr>
        <w:t xml:space="preserve"> million.</w:t>
      </w:r>
    </w:p>
    <w:p w14:paraId="26F7D266" w14:textId="38ED63BC" w:rsidR="00571279" w:rsidRDefault="00571279">
      <w:pPr>
        <w:rPr>
          <w:rFonts w:ascii="Times New Roman" w:eastAsia="Times New Roman" w:hAnsi="Times New Roman" w:cs="Times New Roman"/>
          <w:b/>
          <w:bCs/>
          <w:color w:val="000000" w:themeColor="text1"/>
          <w:kern w:val="0"/>
          <w:sz w:val="26"/>
          <w:szCs w:val="26"/>
          <w14:ligatures w14:val="none"/>
        </w:rPr>
      </w:pPr>
    </w:p>
    <w:p w14:paraId="7FBBB9B1" w14:textId="6D8874DA" w:rsidR="00556B1C" w:rsidRPr="00D1084B" w:rsidRDefault="004776B4" w:rsidP="00556B1C">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AB78E4" w:rsidRPr="00AB78E4">
        <w:rPr>
          <w:rFonts w:ascii="Times New Roman" w:eastAsia="Times New Roman" w:hAnsi="Times New Roman" w:cs="Times New Roman"/>
          <w:b/>
          <w:bCs/>
          <w:color w:val="000000" w:themeColor="text1"/>
          <w:sz w:val="26"/>
          <w:szCs w:val="26"/>
        </w:rPr>
        <w:t xml:space="preserve">Devers 230 kV Reconfiguration Project </w:t>
      </w:r>
      <w:r w:rsidR="00556B1C" w:rsidRPr="00D1084B">
        <w:rPr>
          <w:rFonts w:ascii="Times New Roman" w:eastAsia="Times New Roman" w:hAnsi="Times New Roman" w:cs="Times New Roman"/>
          <w:b/>
          <w:bCs/>
          <w:color w:val="000000" w:themeColor="text1"/>
          <w:sz w:val="26"/>
          <w:szCs w:val="26"/>
        </w:rPr>
        <w:t xml:space="preserve">(PIN: </w:t>
      </w:r>
      <w:r w:rsidR="00AB78E4">
        <w:rPr>
          <w:rFonts w:ascii="Times New Roman" w:eastAsia="Times New Roman" w:hAnsi="Times New Roman" w:cs="Times New Roman"/>
          <w:b/>
          <w:bCs/>
          <w:color w:val="000000" w:themeColor="text1"/>
          <w:sz w:val="26"/>
          <w:szCs w:val="26"/>
        </w:rPr>
        <w:t>8473</w:t>
      </w:r>
      <w:r w:rsidR="00556B1C" w:rsidRPr="00D1084B">
        <w:rPr>
          <w:rFonts w:ascii="Times New Roman" w:eastAsia="Times New Roman" w:hAnsi="Times New Roman" w:cs="Times New Roman"/>
          <w:b/>
          <w:bCs/>
          <w:color w:val="000000" w:themeColor="text1"/>
          <w:sz w:val="26"/>
          <w:szCs w:val="26"/>
        </w:rPr>
        <w:t>)</w:t>
      </w:r>
    </w:p>
    <w:p w14:paraId="5FCFC5EB" w14:textId="11D6516F" w:rsidR="00556B1C" w:rsidRPr="00D1084B" w:rsidRDefault="006B0137" w:rsidP="6155A3FC">
      <w:pPr>
        <w:pStyle w:val="ListParagraph"/>
        <w:spacing w:after="0" w:line="360" w:lineRule="auto"/>
        <w:rPr>
          <w:rFonts w:ascii="Times New Roman" w:eastAsia="Malgun Gothic" w:hAnsi="Times New Roman" w:cs="Times New Roman"/>
          <w:color w:val="000000" w:themeColor="text1"/>
          <w:sz w:val="26"/>
          <w:szCs w:val="26"/>
        </w:rPr>
      </w:pPr>
      <w:r>
        <w:rPr>
          <w:rFonts w:ascii="Times New Roman" w:eastAsia="Malgun Gothic" w:hAnsi="Times New Roman" w:cs="Times New Roman"/>
          <w:color w:val="FF0000"/>
          <w:sz w:val="26"/>
          <w:szCs w:val="26"/>
        </w:rPr>
        <w:tab/>
      </w:r>
      <w:r w:rsidR="00E36613" w:rsidRPr="00494E06">
        <w:rPr>
          <w:rFonts w:ascii="Times New Roman" w:eastAsia="Malgun Gothic" w:hAnsi="Times New Roman" w:cs="Times New Roman"/>
          <w:sz w:val="26"/>
          <w:szCs w:val="26"/>
        </w:rPr>
        <w:t xml:space="preserve">The purpose of the project is </w:t>
      </w:r>
      <w:r w:rsidR="329681AB" w:rsidRPr="00494E06">
        <w:rPr>
          <w:rFonts w:ascii="Times New Roman" w:eastAsia="Malgun Gothic" w:hAnsi="Times New Roman" w:cs="Times New Roman"/>
          <w:sz w:val="26"/>
          <w:szCs w:val="26"/>
        </w:rPr>
        <w:t xml:space="preserve">to </w:t>
      </w:r>
      <w:r w:rsidR="00CD16FD" w:rsidRPr="00494E06">
        <w:rPr>
          <w:rFonts w:ascii="Times New Roman" w:eastAsia="Malgun Gothic" w:hAnsi="Times New Roman" w:cs="Times New Roman"/>
          <w:sz w:val="26"/>
          <w:szCs w:val="26"/>
        </w:rPr>
        <w:t>upgrade the Devers 220 kV Bus configuration to improve operational flexibility and reduce the financial impact during a Devers 220 kV Bus outage.</w:t>
      </w:r>
      <w:r w:rsidR="001E4A54" w:rsidRPr="00494E06">
        <w:rPr>
          <w:rFonts w:ascii="Times New Roman" w:eastAsia="Malgun Gothic" w:hAnsi="Times New Roman" w:cs="Times New Roman"/>
          <w:sz w:val="26"/>
          <w:szCs w:val="26"/>
        </w:rPr>
        <w:t xml:space="preserve"> The project scope involves installing one (1) 220kV, 4000A, 63kA, SP6 gas type CB 5012; installing a </w:t>
      </w:r>
      <w:r w:rsidR="008D43B6" w:rsidRPr="00494E06">
        <w:rPr>
          <w:rFonts w:ascii="Times New Roman" w:eastAsia="Malgun Gothic" w:hAnsi="Times New Roman" w:cs="Times New Roman"/>
          <w:sz w:val="26"/>
          <w:szCs w:val="26"/>
        </w:rPr>
        <w:t>dead-end</w:t>
      </w:r>
      <w:r w:rsidR="001E4A54" w:rsidRPr="00494E06">
        <w:rPr>
          <w:rFonts w:ascii="Times New Roman" w:eastAsia="Malgun Gothic" w:hAnsi="Times New Roman" w:cs="Times New Roman"/>
          <w:sz w:val="26"/>
          <w:szCs w:val="26"/>
        </w:rPr>
        <w:t xml:space="preserve"> </w:t>
      </w:r>
      <w:r w:rsidR="008D43B6" w:rsidRPr="00494E06">
        <w:rPr>
          <w:rFonts w:ascii="Times New Roman" w:eastAsia="Malgun Gothic" w:hAnsi="Times New Roman" w:cs="Times New Roman"/>
          <w:sz w:val="26"/>
          <w:szCs w:val="26"/>
        </w:rPr>
        <w:t>s</w:t>
      </w:r>
      <w:r w:rsidR="001E4A54" w:rsidRPr="00494E06">
        <w:rPr>
          <w:rFonts w:ascii="Times New Roman" w:eastAsia="Malgun Gothic" w:hAnsi="Times New Roman" w:cs="Times New Roman"/>
          <w:sz w:val="26"/>
          <w:szCs w:val="26"/>
        </w:rPr>
        <w:t>tructure for the 1AA bank conductor; replacing CB 4012 BCT with 5000/5 BCT; installing three (3) CCVT; installing two (2) 4000A line disconnects; install one (1) C60 for LBFB; install two (2) test relays; reconnect 1AA bank relay protection; remove two (2) 220kV, 4000A, 63kA, SP6 gas type CB 41X2 &amp; 61X2; and remove SBC 99 relay, SEL 351 test relays and associated equipment.</w:t>
      </w:r>
    </w:p>
    <w:p w14:paraId="40E8A3B5" w14:textId="1C6A1756" w:rsidR="00556B1C" w:rsidRPr="00D1084B" w:rsidRDefault="00556B1C" w:rsidP="00556B1C">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425416">
        <w:rPr>
          <w:rFonts w:ascii="Times New Roman" w:eastAsia="Malgun Gothic" w:hAnsi="Times New Roman" w:cs="Times New Roman"/>
          <w:bCs/>
          <w:color w:val="000000" w:themeColor="text1"/>
          <w:sz w:val="26"/>
          <w:szCs w:val="26"/>
        </w:rPr>
        <w:t>10.732</w:t>
      </w:r>
      <w:r w:rsidRPr="00D1084B">
        <w:rPr>
          <w:rFonts w:ascii="Times New Roman" w:eastAsia="Malgun Gothic" w:hAnsi="Times New Roman" w:cs="Times New Roman"/>
          <w:bCs/>
          <w:color w:val="000000" w:themeColor="text1"/>
          <w:sz w:val="26"/>
          <w:szCs w:val="26"/>
        </w:rPr>
        <w:t xml:space="preserve"> million.</w:t>
      </w:r>
    </w:p>
    <w:p w14:paraId="66372852" w14:textId="77777777" w:rsidR="00B8455C" w:rsidRDefault="00B8455C" w:rsidP="00EE1FB9">
      <w:pPr>
        <w:pStyle w:val="StyleHeading1TextLeft0Hanging025"/>
        <w:ind w:left="0" w:firstLine="0"/>
        <w:rPr>
          <w:color w:val="000000" w:themeColor="text1"/>
          <w:sz w:val="26"/>
          <w:szCs w:val="26"/>
        </w:rPr>
      </w:pPr>
    </w:p>
    <w:p w14:paraId="7203C29B" w14:textId="71E49709" w:rsidR="00556B1C" w:rsidRPr="00D1084B" w:rsidRDefault="004776B4" w:rsidP="00556B1C">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AB78E4" w:rsidRPr="00AB78E4">
        <w:rPr>
          <w:rFonts w:ascii="Times New Roman" w:eastAsia="Times New Roman" w:hAnsi="Times New Roman" w:cs="Times New Roman"/>
          <w:b/>
          <w:bCs/>
          <w:color w:val="000000" w:themeColor="text1"/>
          <w:sz w:val="26"/>
          <w:szCs w:val="26"/>
        </w:rPr>
        <w:t xml:space="preserve">Antelope 66 kV Circuit Breaker Upgrade </w:t>
      </w:r>
      <w:r w:rsidR="00556B1C" w:rsidRPr="00D1084B">
        <w:rPr>
          <w:rFonts w:ascii="Times New Roman" w:eastAsia="Times New Roman" w:hAnsi="Times New Roman" w:cs="Times New Roman"/>
          <w:b/>
          <w:bCs/>
          <w:color w:val="000000" w:themeColor="text1"/>
          <w:sz w:val="26"/>
          <w:szCs w:val="26"/>
        </w:rPr>
        <w:t xml:space="preserve">(PIN: </w:t>
      </w:r>
      <w:r w:rsidR="00AB78E4">
        <w:rPr>
          <w:rFonts w:ascii="Times New Roman" w:eastAsia="Times New Roman" w:hAnsi="Times New Roman" w:cs="Times New Roman"/>
          <w:b/>
          <w:bCs/>
          <w:color w:val="000000" w:themeColor="text1"/>
          <w:sz w:val="26"/>
          <w:szCs w:val="26"/>
        </w:rPr>
        <w:t>8474</w:t>
      </w:r>
      <w:r w:rsidR="00556B1C" w:rsidRPr="00D1084B">
        <w:rPr>
          <w:rFonts w:ascii="Times New Roman" w:eastAsia="Times New Roman" w:hAnsi="Times New Roman" w:cs="Times New Roman"/>
          <w:b/>
          <w:bCs/>
          <w:color w:val="000000" w:themeColor="text1"/>
          <w:sz w:val="26"/>
          <w:szCs w:val="26"/>
        </w:rPr>
        <w:t>)</w:t>
      </w:r>
    </w:p>
    <w:p w14:paraId="154DA84D" w14:textId="65FED12F" w:rsidR="00556B1C" w:rsidRPr="00851BDA" w:rsidRDefault="006B0137" w:rsidP="00556B1C">
      <w:pPr>
        <w:pStyle w:val="ListParagraph"/>
        <w:spacing w:after="0" w:line="360" w:lineRule="auto"/>
        <w:rPr>
          <w:rFonts w:ascii="Times New Roman" w:eastAsia="Malgun Gothic" w:hAnsi="Times New Roman" w:cs="Times New Roman"/>
          <w:color w:val="000000" w:themeColor="text1"/>
          <w:sz w:val="26"/>
          <w:szCs w:val="26"/>
        </w:rPr>
      </w:pPr>
      <w:r>
        <w:rPr>
          <w:rFonts w:ascii="Times New Roman" w:eastAsia="Malgun Gothic" w:hAnsi="Times New Roman" w:cs="Times New Roman"/>
          <w:bCs/>
          <w:color w:val="FF0000"/>
          <w:sz w:val="26"/>
          <w:szCs w:val="26"/>
        </w:rPr>
        <w:tab/>
      </w:r>
      <w:r w:rsidR="00E36613" w:rsidRPr="00494E06">
        <w:rPr>
          <w:rFonts w:ascii="Times New Roman" w:eastAsia="Malgun Gothic" w:hAnsi="Times New Roman" w:cs="Times New Roman"/>
          <w:sz w:val="26"/>
          <w:szCs w:val="26"/>
        </w:rPr>
        <w:t xml:space="preserve">The purpose of the project is to </w:t>
      </w:r>
      <w:r w:rsidR="00057B89" w:rsidRPr="00494E06">
        <w:rPr>
          <w:rFonts w:ascii="Times New Roman" w:eastAsia="Malgun Gothic" w:hAnsi="Times New Roman" w:cs="Times New Roman"/>
          <w:sz w:val="26"/>
          <w:szCs w:val="26"/>
        </w:rPr>
        <w:t xml:space="preserve">upgrade </w:t>
      </w:r>
      <w:r w:rsidR="005A46DA" w:rsidRPr="00494E06">
        <w:rPr>
          <w:rFonts w:ascii="Times New Roman" w:eastAsia="Malgun Gothic" w:hAnsi="Times New Roman" w:cs="Times New Roman"/>
          <w:sz w:val="26"/>
          <w:szCs w:val="26"/>
        </w:rPr>
        <w:t xml:space="preserve">41 </w:t>
      </w:r>
      <w:r w:rsidR="00D3282E" w:rsidRPr="00494E06">
        <w:rPr>
          <w:rFonts w:ascii="Times New Roman" w:eastAsia="Malgun Gothic" w:hAnsi="Times New Roman" w:cs="Times New Roman"/>
          <w:sz w:val="26"/>
          <w:szCs w:val="26"/>
        </w:rPr>
        <w:t xml:space="preserve">Antelope 66 kV </w:t>
      </w:r>
      <w:r w:rsidR="00193977" w:rsidRPr="00494E06">
        <w:rPr>
          <w:rFonts w:ascii="Times New Roman" w:eastAsia="Malgun Gothic" w:hAnsi="Times New Roman" w:cs="Times New Roman"/>
          <w:sz w:val="26"/>
          <w:szCs w:val="26"/>
        </w:rPr>
        <w:t xml:space="preserve">Circuit Breakers and associated equipment from 40 kA to 50 kA Circuit Breakers. </w:t>
      </w:r>
      <w:r w:rsidR="00E3288D" w:rsidRPr="00494E06">
        <w:rPr>
          <w:rFonts w:ascii="Times New Roman" w:eastAsia="Malgun Gothic" w:hAnsi="Times New Roman" w:cs="Times New Roman"/>
          <w:sz w:val="26"/>
          <w:szCs w:val="26"/>
        </w:rPr>
        <w:t xml:space="preserve">The scope of work also includes </w:t>
      </w:r>
      <w:r w:rsidR="00E3288D" w:rsidRPr="00494E06">
        <w:rPr>
          <w:rFonts w:ascii="Times New Roman" w:eastAsia="Malgun Gothic" w:hAnsi="Times New Roman" w:cs="Times New Roman"/>
          <w:sz w:val="26"/>
          <w:szCs w:val="26"/>
        </w:rPr>
        <w:lastRenderedPageBreak/>
        <w:t>replacing 101 66 kV disconnect switches &amp; 45 66 kV PTs</w:t>
      </w:r>
      <w:r w:rsidR="00512C53" w:rsidRPr="00494E06">
        <w:rPr>
          <w:rFonts w:ascii="Times New Roman" w:eastAsia="Malgun Gothic" w:hAnsi="Times New Roman" w:cs="Times New Roman"/>
          <w:sz w:val="26"/>
          <w:szCs w:val="26"/>
        </w:rPr>
        <w:t>, as well as removing 15 steel lattic</w:t>
      </w:r>
      <w:r w:rsidR="39A1244E" w:rsidRPr="4F0E0072">
        <w:rPr>
          <w:rFonts w:ascii="Times New Roman" w:eastAsia="Malgun Gothic" w:hAnsi="Times New Roman" w:cs="Times New Roman"/>
          <w:sz w:val="26"/>
          <w:szCs w:val="26"/>
        </w:rPr>
        <w:t>e</w:t>
      </w:r>
      <w:r w:rsidR="00512C53" w:rsidRPr="00A74439">
        <w:rPr>
          <w:rFonts w:ascii="Times New Roman" w:eastAsia="Malgun Gothic" w:hAnsi="Times New Roman" w:cs="Times New Roman"/>
          <w:sz w:val="26"/>
          <w:szCs w:val="26"/>
        </w:rPr>
        <w:t xml:space="preserve"> structures and installing 15 dead-end structures.</w:t>
      </w:r>
      <w:r w:rsidR="39169EF8" w:rsidRPr="00A74439">
        <w:rPr>
          <w:rFonts w:ascii="Times New Roman" w:eastAsia="Malgun Gothic" w:hAnsi="Times New Roman" w:cs="Times New Roman"/>
          <w:sz w:val="26"/>
          <w:szCs w:val="26"/>
        </w:rPr>
        <w:t xml:space="preserve">  Project will also require rel</w:t>
      </w:r>
      <w:r w:rsidR="6D798C28" w:rsidRPr="4F0E0072">
        <w:rPr>
          <w:rFonts w:ascii="Times New Roman" w:eastAsia="Malgun Gothic" w:hAnsi="Times New Roman" w:cs="Times New Roman"/>
          <w:sz w:val="26"/>
          <w:szCs w:val="26"/>
        </w:rPr>
        <w:t>a</w:t>
      </w:r>
      <w:r w:rsidR="39169EF8" w:rsidRPr="00C97DB9">
        <w:rPr>
          <w:rFonts w:ascii="Times New Roman" w:eastAsia="Malgun Gothic" w:hAnsi="Times New Roman" w:cs="Times New Roman"/>
          <w:sz w:val="26"/>
          <w:szCs w:val="26"/>
        </w:rPr>
        <w:t>y upgrades at Antelope Substation as well as 5 other satel</w:t>
      </w:r>
      <w:r w:rsidR="2C9BC9E7" w:rsidRPr="4F0E0072">
        <w:rPr>
          <w:rFonts w:ascii="Times New Roman" w:eastAsia="Malgun Gothic" w:hAnsi="Times New Roman" w:cs="Times New Roman"/>
          <w:sz w:val="26"/>
          <w:szCs w:val="26"/>
        </w:rPr>
        <w:t>l</w:t>
      </w:r>
      <w:r w:rsidR="39169EF8" w:rsidRPr="00C97DB9">
        <w:rPr>
          <w:rFonts w:ascii="Times New Roman" w:eastAsia="Malgun Gothic" w:hAnsi="Times New Roman" w:cs="Times New Roman"/>
          <w:sz w:val="26"/>
          <w:szCs w:val="26"/>
        </w:rPr>
        <w:t>ite substations.</w:t>
      </w:r>
    </w:p>
    <w:p w14:paraId="5F3E4C57" w14:textId="72A76594" w:rsidR="00556B1C" w:rsidRPr="00D1084B" w:rsidRDefault="00556B1C" w:rsidP="00556B1C">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9769C8">
        <w:rPr>
          <w:rFonts w:ascii="Times New Roman" w:eastAsia="Malgun Gothic" w:hAnsi="Times New Roman" w:cs="Times New Roman"/>
          <w:bCs/>
          <w:color w:val="000000" w:themeColor="text1"/>
          <w:sz w:val="26"/>
          <w:szCs w:val="26"/>
        </w:rPr>
        <w:t>15.930</w:t>
      </w:r>
      <w:r w:rsidRPr="00D1084B">
        <w:rPr>
          <w:rFonts w:ascii="Times New Roman" w:eastAsia="Malgun Gothic" w:hAnsi="Times New Roman" w:cs="Times New Roman"/>
          <w:bCs/>
          <w:color w:val="000000" w:themeColor="text1"/>
          <w:sz w:val="26"/>
          <w:szCs w:val="26"/>
        </w:rPr>
        <w:t xml:space="preserve"> million.</w:t>
      </w:r>
    </w:p>
    <w:p w14:paraId="44D7AE5B" w14:textId="77777777" w:rsidR="00D5626C" w:rsidRDefault="00D5626C" w:rsidP="00EE1FB9">
      <w:pPr>
        <w:pStyle w:val="StyleHeading1TextLeft0Hanging025"/>
        <w:ind w:left="0" w:firstLine="0"/>
        <w:rPr>
          <w:color w:val="000000" w:themeColor="text1"/>
          <w:sz w:val="26"/>
          <w:szCs w:val="26"/>
        </w:rPr>
      </w:pPr>
    </w:p>
    <w:p w14:paraId="08D59EE5" w14:textId="66089262" w:rsidR="00556B1C" w:rsidRPr="00D1084B" w:rsidRDefault="004776B4" w:rsidP="00556B1C">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D44916" w:rsidRPr="00D44916">
        <w:rPr>
          <w:rFonts w:ascii="Times New Roman" w:eastAsia="Times New Roman" w:hAnsi="Times New Roman" w:cs="Times New Roman"/>
          <w:b/>
          <w:bCs/>
          <w:color w:val="000000" w:themeColor="text1"/>
          <w:sz w:val="26"/>
          <w:szCs w:val="26"/>
        </w:rPr>
        <w:t xml:space="preserve">Victor 230 kV Switchrack Reconfiguration </w:t>
      </w:r>
      <w:r w:rsidR="00556B1C" w:rsidRPr="00D1084B">
        <w:rPr>
          <w:rFonts w:ascii="Times New Roman" w:eastAsia="Times New Roman" w:hAnsi="Times New Roman" w:cs="Times New Roman"/>
          <w:b/>
          <w:bCs/>
          <w:color w:val="000000" w:themeColor="text1"/>
          <w:sz w:val="26"/>
          <w:szCs w:val="26"/>
        </w:rPr>
        <w:t xml:space="preserve">(PIN: </w:t>
      </w:r>
      <w:r w:rsidR="00D44916">
        <w:rPr>
          <w:rFonts w:ascii="Times New Roman" w:eastAsia="Times New Roman" w:hAnsi="Times New Roman" w:cs="Times New Roman"/>
          <w:b/>
          <w:bCs/>
          <w:color w:val="000000" w:themeColor="text1"/>
          <w:sz w:val="26"/>
          <w:szCs w:val="26"/>
        </w:rPr>
        <w:t>8506</w:t>
      </w:r>
      <w:r w:rsidR="00556B1C" w:rsidRPr="00D1084B">
        <w:rPr>
          <w:rFonts w:ascii="Times New Roman" w:eastAsia="Times New Roman" w:hAnsi="Times New Roman" w:cs="Times New Roman"/>
          <w:b/>
          <w:bCs/>
          <w:color w:val="000000" w:themeColor="text1"/>
          <w:sz w:val="26"/>
          <w:szCs w:val="26"/>
        </w:rPr>
        <w:t>)</w:t>
      </w:r>
    </w:p>
    <w:p w14:paraId="063D7024" w14:textId="6F3BB34E" w:rsidR="00556B1C" w:rsidRPr="00C97DB9" w:rsidRDefault="00F95E22" w:rsidP="006B0137">
      <w:pPr>
        <w:pStyle w:val="ListParagraph"/>
        <w:spacing w:after="0" w:line="360" w:lineRule="auto"/>
        <w:ind w:firstLine="540"/>
        <w:rPr>
          <w:rFonts w:ascii="Times New Roman" w:eastAsia="Malgun Gothic" w:hAnsi="Times New Roman" w:cs="Times New Roman"/>
          <w:bCs/>
          <w:sz w:val="26"/>
          <w:szCs w:val="26"/>
        </w:rPr>
      </w:pPr>
      <w:r w:rsidRPr="00C97DB9">
        <w:rPr>
          <w:rFonts w:ascii="Times New Roman" w:eastAsia="Malgun Gothic" w:hAnsi="Times New Roman" w:cs="Times New Roman"/>
          <w:bCs/>
          <w:sz w:val="26"/>
          <w:szCs w:val="26"/>
        </w:rPr>
        <w:t>This project will upgrade the Victor 220 kV Bus configuration to improve operational flexibility and mitigate voltage instability risk during planned/unplanned Victor 220 kV bus outages and associated constraints. The project will convert two positions on the Victor 220 kV bus from an existing double breaker double bus (DBDB) scheme to a breaker-and-a-half (BAAH) configuration by adding a tie circuit breaker (CB) and relocate the Lugo No. 3 and No. 4 220 kV lines from positions 7 and 6 south to positions 11 and 10, respectively. Replace two existing structures M10-P8X and M10-T7 with taller structures and locate them as far south within the existing substation fence line as possible. The taller structures are to facilitate under crossings from future 3rd party gen-ties.</w:t>
      </w:r>
    </w:p>
    <w:p w14:paraId="7E03CA59" w14:textId="17BDEF64" w:rsidR="00556B1C" w:rsidRPr="00D1084B" w:rsidRDefault="00556B1C" w:rsidP="00556B1C">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9769C8">
        <w:rPr>
          <w:rFonts w:ascii="Times New Roman" w:eastAsia="Malgun Gothic" w:hAnsi="Times New Roman" w:cs="Times New Roman"/>
          <w:bCs/>
          <w:color w:val="000000" w:themeColor="text1"/>
          <w:sz w:val="26"/>
          <w:szCs w:val="26"/>
        </w:rPr>
        <w:t>9.998</w:t>
      </w:r>
      <w:r w:rsidRPr="00D1084B">
        <w:rPr>
          <w:rFonts w:ascii="Times New Roman" w:eastAsia="Malgun Gothic" w:hAnsi="Times New Roman" w:cs="Times New Roman"/>
          <w:bCs/>
          <w:color w:val="000000" w:themeColor="text1"/>
          <w:sz w:val="26"/>
          <w:szCs w:val="26"/>
        </w:rPr>
        <w:t xml:space="preserve"> million.</w:t>
      </w:r>
    </w:p>
    <w:p w14:paraId="7D65AED3" w14:textId="77777777" w:rsidR="00D5626C" w:rsidRDefault="00D5626C" w:rsidP="00EE1FB9">
      <w:pPr>
        <w:pStyle w:val="StyleHeading1TextLeft0Hanging025"/>
        <w:ind w:left="0" w:firstLine="0"/>
        <w:rPr>
          <w:color w:val="000000" w:themeColor="text1"/>
          <w:sz w:val="26"/>
          <w:szCs w:val="26"/>
        </w:rPr>
      </w:pPr>
    </w:p>
    <w:p w14:paraId="016B00C4" w14:textId="651B5E96" w:rsidR="00556B1C" w:rsidRPr="00D1084B" w:rsidRDefault="004776B4" w:rsidP="00556B1C">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D44916" w:rsidRPr="00D44916">
        <w:rPr>
          <w:rFonts w:ascii="Times New Roman" w:eastAsia="Times New Roman" w:hAnsi="Times New Roman" w:cs="Times New Roman"/>
          <w:b/>
          <w:bCs/>
          <w:color w:val="000000" w:themeColor="text1"/>
          <w:sz w:val="26"/>
          <w:szCs w:val="26"/>
        </w:rPr>
        <w:t xml:space="preserve">Antelope - Whirlwind Line Upgrade </w:t>
      </w:r>
      <w:r w:rsidR="00556B1C" w:rsidRPr="00D1084B">
        <w:rPr>
          <w:rFonts w:ascii="Times New Roman" w:eastAsia="Times New Roman" w:hAnsi="Times New Roman" w:cs="Times New Roman"/>
          <w:b/>
          <w:bCs/>
          <w:color w:val="000000" w:themeColor="text1"/>
          <w:sz w:val="26"/>
          <w:szCs w:val="26"/>
        </w:rPr>
        <w:t xml:space="preserve">(PIN: </w:t>
      </w:r>
      <w:r w:rsidR="00D44916">
        <w:rPr>
          <w:rFonts w:ascii="Times New Roman" w:eastAsia="Times New Roman" w:hAnsi="Times New Roman" w:cs="Times New Roman"/>
          <w:b/>
          <w:bCs/>
          <w:color w:val="000000" w:themeColor="text1"/>
          <w:sz w:val="26"/>
          <w:szCs w:val="26"/>
        </w:rPr>
        <w:t>8576</w:t>
      </w:r>
      <w:r w:rsidR="00556B1C" w:rsidRPr="00D1084B">
        <w:rPr>
          <w:rFonts w:ascii="Times New Roman" w:eastAsia="Times New Roman" w:hAnsi="Times New Roman" w:cs="Times New Roman"/>
          <w:b/>
          <w:bCs/>
          <w:color w:val="000000" w:themeColor="text1"/>
          <w:sz w:val="26"/>
          <w:szCs w:val="26"/>
        </w:rPr>
        <w:t>)</w:t>
      </w:r>
    </w:p>
    <w:p w14:paraId="01090665" w14:textId="2F5B13E8" w:rsidR="00556B1C" w:rsidRPr="00C97DB9" w:rsidRDefault="00C874F8" w:rsidP="006B0137">
      <w:pPr>
        <w:pStyle w:val="ListParagraph"/>
        <w:spacing w:after="0" w:line="360" w:lineRule="auto"/>
        <w:ind w:firstLine="540"/>
        <w:rPr>
          <w:rFonts w:ascii="Times New Roman" w:eastAsia="Malgun Gothic" w:hAnsi="Times New Roman" w:cs="Times New Roman"/>
          <w:bCs/>
          <w:sz w:val="26"/>
          <w:szCs w:val="26"/>
        </w:rPr>
      </w:pPr>
      <w:r w:rsidRPr="00C97DB9">
        <w:rPr>
          <w:rFonts w:ascii="Times New Roman" w:eastAsia="Malgun Gothic" w:hAnsi="Times New Roman" w:cs="Times New Roman"/>
          <w:bCs/>
          <w:sz w:val="26"/>
          <w:szCs w:val="26"/>
        </w:rPr>
        <w:t xml:space="preserve">The Antelope-Whirlwind 500 kV Line Upgrade project has been approved, as a Reliability Driven Project, by CAISO Board of Governors on May 18, </w:t>
      </w:r>
      <w:proofErr w:type="gramStart"/>
      <w:r w:rsidRPr="00C97DB9">
        <w:rPr>
          <w:rFonts w:ascii="Times New Roman" w:eastAsia="Malgun Gothic" w:hAnsi="Times New Roman" w:cs="Times New Roman"/>
          <w:bCs/>
          <w:sz w:val="26"/>
          <w:szCs w:val="26"/>
        </w:rPr>
        <w:t>2023</w:t>
      </w:r>
      <w:proofErr w:type="gramEnd"/>
      <w:r w:rsidRPr="00C97DB9">
        <w:rPr>
          <w:rFonts w:ascii="Times New Roman" w:eastAsia="Malgun Gothic" w:hAnsi="Times New Roman" w:cs="Times New Roman"/>
          <w:bCs/>
          <w:sz w:val="26"/>
          <w:szCs w:val="26"/>
        </w:rPr>
        <w:t xml:space="preserve"> as part of the 2022-2023 TPP. The reliability assessment performed by the CAISO identified contingencies (P2, P4, P5, and P6) which resulted in thermal overloads of the Antelope-Whirlwind 500 kV line. The scope of the project to mitigate the identified constraints consists of upgrading the Antelope – Whirlwind 500 kV line by increasing the ground clearance for </w:t>
      </w:r>
      <w:r w:rsidR="00502E76" w:rsidRPr="00C97DB9">
        <w:rPr>
          <w:rFonts w:ascii="Times New Roman" w:eastAsia="Malgun Gothic" w:hAnsi="Times New Roman" w:cs="Times New Roman"/>
          <w:bCs/>
          <w:sz w:val="26"/>
          <w:szCs w:val="26"/>
        </w:rPr>
        <w:t xml:space="preserve">eight </w:t>
      </w:r>
      <w:r w:rsidRPr="00C97DB9">
        <w:rPr>
          <w:rFonts w:ascii="Times New Roman" w:eastAsia="Malgun Gothic" w:hAnsi="Times New Roman" w:cs="Times New Roman"/>
          <w:bCs/>
          <w:sz w:val="26"/>
          <w:szCs w:val="26"/>
        </w:rPr>
        <w:t>(</w:t>
      </w:r>
      <w:r w:rsidR="00502E76" w:rsidRPr="00C97DB9">
        <w:rPr>
          <w:rFonts w:ascii="Times New Roman" w:eastAsia="Malgun Gothic" w:hAnsi="Times New Roman" w:cs="Times New Roman"/>
          <w:bCs/>
          <w:sz w:val="26"/>
          <w:szCs w:val="26"/>
        </w:rPr>
        <w:t>8</w:t>
      </w:r>
      <w:r w:rsidRPr="00C97DB9">
        <w:rPr>
          <w:rFonts w:ascii="Times New Roman" w:eastAsia="Malgun Gothic" w:hAnsi="Times New Roman" w:cs="Times New Roman"/>
          <w:bCs/>
          <w:sz w:val="26"/>
          <w:szCs w:val="26"/>
        </w:rPr>
        <w:t>) towers, which increases the normal and emergency line ratings by 32% and 27%.</w:t>
      </w:r>
    </w:p>
    <w:p w14:paraId="52470418" w14:textId="6F3425F6" w:rsidR="00556B1C" w:rsidRPr="00D1084B" w:rsidRDefault="00556B1C" w:rsidP="00556B1C">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are $</w:t>
      </w:r>
      <w:r w:rsidR="009769C8">
        <w:rPr>
          <w:rFonts w:ascii="Times New Roman" w:eastAsia="Malgun Gothic" w:hAnsi="Times New Roman" w:cs="Times New Roman"/>
          <w:bCs/>
          <w:color w:val="000000" w:themeColor="text1"/>
          <w:sz w:val="26"/>
          <w:szCs w:val="26"/>
        </w:rPr>
        <w:t>5.999</w:t>
      </w:r>
      <w:r w:rsidRPr="00D1084B">
        <w:rPr>
          <w:rFonts w:ascii="Times New Roman" w:eastAsia="Malgun Gothic" w:hAnsi="Times New Roman" w:cs="Times New Roman"/>
          <w:bCs/>
          <w:color w:val="000000" w:themeColor="text1"/>
          <w:sz w:val="26"/>
          <w:szCs w:val="26"/>
        </w:rPr>
        <w:t xml:space="preserve"> million.</w:t>
      </w:r>
    </w:p>
    <w:p w14:paraId="7411110F" w14:textId="77777777" w:rsidR="00D5626C" w:rsidRDefault="00D5626C" w:rsidP="00EE1FB9">
      <w:pPr>
        <w:pStyle w:val="StyleHeading1TextLeft0Hanging025"/>
        <w:ind w:left="0" w:firstLine="0"/>
        <w:rPr>
          <w:color w:val="000000" w:themeColor="text1"/>
          <w:sz w:val="26"/>
          <w:szCs w:val="26"/>
        </w:rPr>
      </w:pPr>
    </w:p>
    <w:p w14:paraId="6C985A71" w14:textId="27D96CF6" w:rsidR="004776B4" w:rsidRPr="00D1084B" w:rsidRDefault="004776B4" w:rsidP="004776B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D1084B">
        <w:rPr>
          <w:rFonts w:ascii="Times New Roman" w:eastAsia="Malgun Gothic" w:hAnsi="Times New Roman" w:cs="Times New Roman"/>
          <w:b/>
          <w:bCs/>
          <w:color w:val="000000" w:themeColor="text1"/>
          <w:sz w:val="26"/>
          <w:szCs w:val="26"/>
        </w:rPr>
        <w:t>West of Devers Upgrade Project (PIN: 6420)</w:t>
      </w:r>
    </w:p>
    <w:p w14:paraId="2BD29C89" w14:textId="77777777" w:rsidR="004776B4" w:rsidRPr="00D1084B" w:rsidRDefault="004776B4" w:rsidP="006B013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West of Devers Upgrade Project (WODUP) consists of upgrading and reconfiguring approximately 48 miles of four existing 230 kV transmission lines between the Devers, El Casco, Vista, and San Bernardino substations </w:t>
      </w:r>
      <w:proofErr w:type="gramStart"/>
      <w:r w:rsidRPr="00D1084B">
        <w:rPr>
          <w:rFonts w:ascii="Times New Roman" w:eastAsia="Malgun Gothic" w:hAnsi="Times New Roman" w:cs="Times New Roman"/>
          <w:bCs/>
          <w:color w:val="000000" w:themeColor="text1"/>
          <w:sz w:val="26"/>
          <w:szCs w:val="26"/>
        </w:rPr>
        <w:t>in order to</w:t>
      </w:r>
      <w:proofErr w:type="gramEnd"/>
      <w:r w:rsidRPr="00D1084B">
        <w:rPr>
          <w:rFonts w:ascii="Times New Roman" w:eastAsia="Malgun Gothic" w:hAnsi="Times New Roman" w:cs="Times New Roman"/>
          <w:bCs/>
          <w:color w:val="000000" w:themeColor="text1"/>
          <w:sz w:val="26"/>
          <w:szCs w:val="26"/>
        </w:rPr>
        <w:t xml:space="preserve"> increase the power transfer capabilities in this area of SCE’s system. The WODUP is needed to integrate planned renewable generation resources, comply with executed Large Generator Interconnection Agreements (LGIAs) and signed Power Purchase Agreements (PPAs), comply with NERC and WECC transmission reliability planning criteria and facilitate compliance with California’s renewable portfolio standards (RPS) goals.</w:t>
      </w:r>
    </w:p>
    <w:p w14:paraId="49CBF46F" w14:textId="77777777" w:rsidR="004776B4" w:rsidRPr="00D1084B" w:rsidRDefault="004776B4" w:rsidP="004776B4">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In August 2016, the CPUC approved the construction of the WODUP. As a result of the delay in receipt of the WODUP's approval from the CPUC, SCE deferred the forecasted timing of project capital expenditures. Office of Ratepayer Advocates (ORA) filed an Application for Rehearing in September 2016 stating that the August 2016 decision failed to follow the California Environmental Quality Act (CEQA) when it approved the WODUP and should have approved an alternative project with an amended scope. In March 2017, the CPUC issued a decision denying ORA's September 2016 Application for Rehearing. This action confirmed SCE's proposed project. In December 2017, SCE awarded the competitive bid for transmission construction, which resulted in a decrease </w:t>
      </w:r>
      <w:proofErr w:type="gramStart"/>
      <w:r w:rsidRPr="00D1084B">
        <w:rPr>
          <w:rFonts w:ascii="Times New Roman" w:eastAsia="Malgun Gothic" w:hAnsi="Times New Roman" w:cs="Times New Roman"/>
          <w:bCs/>
          <w:color w:val="000000" w:themeColor="text1"/>
          <w:sz w:val="26"/>
          <w:szCs w:val="26"/>
        </w:rPr>
        <w:t>to</w:t>
      </w:r>
      <w:proofErr w:type="gramEnd"/>
      <w:r w:rsidRPr="00D1084B">
        <w:rPr>
          <w:rFonts w:ascii="Times New Roman" w:eastAsia="Malgun Gothic" w:hAnsi="Times New Roman" w:cs="Times New Roman"/>
          <w:bCs/>
          <w:color w:val="000000" w:themeColor="text1"/>
          <w:sz w:val="26"/>
          <w:szCs w:val="26"/>
        </w:rPr>
        <w:t xml:space="preserve"> the expected cost of the WODUP from $1.075 billion to $848 million.  </w:t>
      </w:r>
    </w:p>
    <w:p w14:paraId="306D16CC" w14:textId="3D9C745B" w:rsidR="004776B4" w:rsidRPr="00D1084B" w:rsidRDefault="004776B4" w:rsidP="004776B4">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Pr>
          <w:rFonts w:ascii="Times New Roman" w:eastAsia="Malgun Gothic" w:hAnsi="Times New Roman" w:cs="Times New Roman"/>
          <w:bCs/>
          <w:color w:val="000000" w:themeColor="text1"/>
          <w:sz w:val="26"/>
          <w:szCs w:val="26"/>
        </w:rPr>
        <w:t>7.891</w:t>
      </w:r>
      <w:r w:rsidRPr="00D1084B">
        <w:rPr>
          <w:rFonts w:ascii="Times New Roman" w:eastAsia="Malgun Gothic" w:hAnsi="Times New Roman" w:cs="Times New Roman"/>
          <w:bCs/>
          <w:color w:val="000000" w:themeColor="text1"/>
          <w:sz w:val="26"/>
          <w:szCs w:val="26"/>
        </w:rPr>
        <w:t xml:space="preserve"> million.</w:t>
      </w:r>
    </w:p>
    <w:p w14:paraId="134C2E49" w14:textId="77777777" w:rsidR="004776B4" w:rsidRDefault="004776B4" w:rsidP="00EE1FB9">
      <w:pPr>
        <w:pStyle w:val="StyleHeading1TextLeft0Hanging025"/>
        <w:ind w:left="0" w:firstLine="0"/>
        <w:rPr>
          <w:color w:val="000000" w:themeColor="text1"/>
          <w:sz w:val="26"/>
          <w:szCs w:val="26"/>
        </w:rPr>
      </w:pPr>
    </w:p>
    <w:p w14:paraId="1A69C164" w14:textId="26A23A86" w:rsidR="006D6CFB" w:rsidRPr="00D1084B" w:rsidRDefault="006D6CFB" w:rsidP="006D6CFB">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 </w:t>
      </w:r>
      <w:r w:rsidRPr="00D1084B">
        <w:rPr>
          <w:rFonts w:ascii="Times New Roman" w:eastAsia="Malgun Gothic" w:hAnsi="Times New Roman" w:cs="Times New Roman"/>
          <w:b/>
          <w:bCs/>
          <w:color w:val="000000" w:themeColor="text1"/>
          <w:sz w:val="26"/>
          <w:szCs w:val="26"/>
        </w:rPr>
        <w:t>Eldorado-Lugo-Mohave (ELM) Upgrade (PIN: 7546)</w:t>
      </w:r>
    </w:p>
    <w:p w14:paraId="662CCF59" w14:textId="77777777" w:rsidR="006D6CFB" w:rsidRPr="00D1084B" w:rsidRDefault="006D6CFB" w:rsidP="006B0137">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CAISO approved the Lugo-Eldorado series capacitor and terminal equipment upgrade in its 2012-2013 Transmission Planning Process (TPP) and the Lugo-Mohave series capacitor and terminal equipment upgrade in its 2013-2014 TPP as policy-driven upgrades to relieve deliverability constraints </w:t>
      </w:r>
      <w:proofErr w:type="gramStart"/>
      <w:r w:rsidRPr="00D1084B">
        <w:rPr>
          <w:rFonts w:ascii="Times New Roman" w:eastAsia="Times New Roman" w:hAnsi="Times New Roman" w:cs="Times New Roman"/>
          <w:color w:val="000000" w:themeColor="text1"/>
          <w:sz w:val="26"/>
          <w:szCs w:val="26"/>
        </w:rPr>
        <w:t>in order to</w:t>
      </w:r>
      <w:proofErr w:type="gramEnd"/>
      <w:r w:rsidRPr="00D1084B">
        <w:rPr>
          <w:rFonts w:ascii="Times New Roman" w:eastAsia="Times New Roman" w:hAnsi="Times New Roman" w:cs="Times New Roman"/>
          <w:color w:val="000000" w:themeColor="text1"/>
          <w:sz w:val="26"/>
          <w:szCs w:val="26"/>
        </w:rPr>
        <w:t xml:space="preserve"> support achievement of California’s renewable energy goals.  This project will increase power flow through SCE’s existing transmission lines from Nevada to Southern California and will provide renewable integration, improved deliverability, and enhanced reliability benefits.  CAISO identified reliability benefits of the project in that it relieves overloads on certain 500kV facilities in the neighboring LADWP’s transmission system.</w:t>
      </w:r>
    </w:p>
    <w:p w14:paraId="601B881C" w14:textId="77777777" w:rsidR="006D6CFB" w:rsidRPr="00D1084B" w:rsidRDefault="006D6CFB" w:rsidP="006D6CFB">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ELM project would modify SCE's existing Eldorado, Lugo, and Mohave electrical substations to accommodate the increased current flow from Nevada to Southern California; increase the power flow through the existing Eldorado-Lugo, Eldorado-Mohave, and Lugo-Mohave 500 kV transmission lines for the purpose of increasing the amount of power delivered from California’s Ivanpah Valley, as well as power delivered from Nevada, and Arizona to the Electrical Needs Area (ENA) through the SCE system in an effort to meet requirements associated with the California Renewables Portfolio Standard (RPS) by constructing two new 500 kV mid-line series capacitors (i.e., the proposed Newberry Springs Series Capacitor and Ludlow Series Capacitor) and associated equipment; raise transmission tower heights to meet ground clearance requirements; and install communication wire on SCE’s transmission lines to allow for communication between existing SCE substations. </w:t>
      </w:r>
    </w:p>
    <w:p w14:paraId="1B4180E7" w14:textId="77777777" w:rsidR="006D6CFB" w:rsidRPr="00D1084B" w:rsidRDefault="006D6CFB" w:rsidP="006D6CFB">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has proposed an expedited schedule and a non-standard review process with the regulatory permitting agencies to meet the current in-service date. During September 2017, SCE awarded the competitive bid for the project which resulted in a decrease to the expected capital forecast for the project. </w:t>
      </w:r>
    </w:p>
    <w:p w14:paraId="3AFAD285" w14:textId="77777777" w:rsidR="006D6CFB" w:rsidRPr="00D1084B" w:rsidRDefault="006D6CFB" w:rsidP="006D6CFB">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On May 2, 2018, SCE filed an application for a Permit to Construct (PTC) authorizing SCE to construct electrical facilities known as the Eldorado-Lugo-Mohave Series Capacitor Project.</w:t>
      </w:r>
    </w:p>
    <w:p w14:paraId="436AFF6C" w14:textId="77777777" w:rsidR="006D6CFB" w:rsidRPr="00D1084B" w:rsidRDefault="006D6CFB" w:rsidP="006D6CFB">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xml:space="preserve">On January 9, 2019, the CPUC directed SCE to file an amended application for a Certificate of Public Convenience and Necessity (CPCN). SCE submitted its amended application for a CPCN on April 19, 2019. The licensing process to file CPCN delayed the projected construction start date to </w:t>
      </w:r>
      <w:proofErr w:type="gramStart"/>
      <w:r w:rsidRPr="00D1084B">
        <w:rPr>
          <w:rFonts w:ascii="Times New Roman" w:eastAsia="Times New Roman" w:hAnsi="Times New Roman" w:cs="Times New Roman"/>
          <w:color w:val="000000" w:themeColor="text1"/>
          <w:sz w:val="26"/>
          <w:szCs w:val="26"/>
        </w:rPr>
        <w:t>third</w:t>
      </w:r>
      <w:proofErr w:type="gramEnd"/>
      <w:r w:rsidRPr="00D1084B">
        <w:rPr>
          <w:rFonts w:ascii="Times New Roman" w:eastAsia="Times New Roman" w:hAnsi="Times New Roman" w:cs="Times New Roman"/>
          <w:color w:val="000000" w:themeColor="text1"/>
          <w:sz w:val="26"/>
          <w:szCs w:val="26"/>
        </w:rPr>
        <w:t xml:space="preserve"> quarter of 2020. </w:t>
      </w:r>
    </w:p>
    <w:p w14:paraId="7AD5BA88" w14:textId="77777777" w:rsidR="006D6CFB" w:rsidRPr="00D1084B" w:rsidRDefault="006D6CFB" w:rsidP="006D6CFB">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 protest by the Public Advocates Office (PAO) resulted in CPUC ruling for an amended CPCN application to be filed (note SCE filed a PTC in May 2018, and then the amended CPCN application April 2019) and this licensing delay deferred construction start date to Q4 2020. Final Decision was voted at CPUC’s at its August 27</w:t>
      </w:r>
      <w:r w:rsidRPr="00D1084B">
        <w:rPr>
          <w:rFonts w:ascii="Times New Roman" w:eastAsia="Times New Roman" w:hAnsi="Times New Roman" w:cs="Times New Roman"/>
          <w:color w:val="000000" w:themeColor="text1"/>
          <w:sz w:val="26"/>
          <w:szCs w:val="26"/>
          <w:vertAlign w:val="superscript"/>
        </w:rPr>
        <w:t>th</w:t>
      </w:r>
      <w:r w:rsidRPr="00D1084B">
        <w:rPr>
          <w:rFonts w:ascii="Times New Roman" w:eastAsia="Times New Roman" w:hAnsi="Times New Roman" w:cs="Times New Roman"/>
          <w:color w:val="000000" w:themeColor="text1"/>
          <w:sz w:val="26"/>
          <w:szCs w:val="26"/>
        </w:rPr>
        <w:t xml:space="preserve"> Business Meeting, approving the project to move forward. BLM Nevada authorized SCE to proceed with construction under O&amp;M condition until ROW Grant is renewed. Eldorado and Mohave construction started on November 2, 2020. CPUC issued Notice to Proceed (NTP) #1 authorizing work to start at Lugo Substation on Jan 4, 2021. The 60-Day Department of Interior Temporary Suspension of Delegated Authority (SO3395) has been lifted for BLM CA and NPS. BLM CA issued an NTP allowing construction at Newberry Springs to commence. BLM Nevada issued ROW Grant Renewal for the 500kV Transmission Line.</w:t>
      </w:r>
    </w:p>
    <w:p w14:paraId="7461ED9D" w14:textId="44214DF9" w:rsidR="006D6CFB" w:rsidRPr="00D1084B" w:rsidRDefault="006D6CFB" w:rsidP="006D6CFB">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$2</w:t>
      </w:r>
      <w:r>
        <w:rPr>
          <w:rFonts w:ascii="Times New Roman" w:eastAsia="Malgun Gothic" w:hAnsi="Times New Roman" w:cs="Times New Roman"/>
          <w:bCs/>
          <w:color w:val="000000" w:themeColor="text1"/>
          <w:sz w:val="26"/>
          <w:szCs w:val="26"/>
        </w:rPr>
        <w:t>63</w:t>
      </w:r>
      <w:r w:rsidRPr="00D1084B">
        <w:rPr>
          <w:rFonts w:ascii="Times New Roman" w:eastAsia="Malgun Gothic" w:hAnsi="Times New Roman" w:cs="Times New Roman"/>
          <w:bCs/>
          <w:color w:val="000000" w:themeColor="text1"/>
          <w:sz w:val="26"/>
          <w:szCs w:val="26"/>
        </w:rPr>
        <w:t>.</w:t>
      </w:r>
      <w:r w:rsidR="00C845F4">
        <w:rPr>
          <w:rFonts w:ascii="Times New Roman" w:eastAsia="Malgun Gothic" w:hAnsi="Times New Roman" w:cs="Times New Roman"/>
          <w:bCs/>
          <w:color w:val="000000" w:themeColor="text1"/>
          <w:sz w:val="26"/>
          <w:szCs w:val="26"/>
        </w:rPr>
        <w:t>690</w:t>
      </w:r>
      <w:r w:rsidRPr="00D1084B">
        <w:rPr>
          <w:rFonts w:ascii="Times New Roman" w:eastAsia="Malgun Gothic" w:hAnsi="Times New Roman" w:cs="Times New Roman"/>
          <w:bCs/>
          <w:color w:val="000000" w:themeColor="text1"/>
          <w:sz w:val="26"/>
          <w:szCs w:val="26"/>
        </w:rPr>
        <w:t xml:space="preserve"> million.</w:t>
      </w:r>
    </w:p>
    <w:p w14:paraId="04B8123B" w14:textId="77777777" w:rsidR="00655141" w:rsidRDefault="00655141" w:rsidP="00EE1FB9">
      <w:pPr>
        <w:pStyle w:val="StyleHeading1TextLeft0Hanging025"/>
        <w:ind w:left="0" w:firstLine="0"/>
        <w:rPr>
          <w:color w:val="000000" w:themeColor="text1"/>
          <w:sz w:val="26"/>
          <w:szCs w:val="26"/>
        </w:rPr>
      </w:pPr>
    </w:p>
    <w:p w14:paraId="3D26EDF7" w14:textId="77777777" w:rsidR="00F206D1" w:rsidRPr="00D1084B" w:rsidRDefault="00F206D1" w:rsidP="00F206D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Mesa Substation (PIN: 7555)</w:t>
      </w:r>
    </w:p>
    <w:p w14:paraId="1983E065" w14:textId="77777777" w:rsidR="00F206D1" w:rsidRPr="00D1084B" w:rsidRDefault="00F206D1" w:rsidP="006B0137">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Mesa Substation Project consists of replacing the existing 230/66/16 kV Mesa Substation with a new 500/230/66/16 kV substation. The Mesa Substation Project </w:t>
      </w:r>
      <w:proofErr w:type="gramStart"/>
      <w:r w:rsidRPr="00D1084B">
        <w:rPr>
          <w:rFonts w:ascii="Times New Roman" w:eastAsia="Malgun Gothic" w:hAnsi="Times New Roman" w:cs="Times New Roman"/>
          <w:bCs/>
          <w:color w:val="000000" w:themeColor="text1"/>
          <w:sz w:val="26"/>
          <w:szCs w:val="26"/>
        </w:rPr>
        <w:t>addresses</w:t>
      </w:r>
      <w:proofErr w:type="gramEnd"/>
      <w:r w:rsidRPr="00D1084B">
        <w:rPr>
          <w:rFonts w:ascii="Times New Roman" w:eastAsia="Malgun Gothic" w:hAnsi="Times New Roman" w:cs="Times New Roman"/>
          <w:bCs/>
          <w:color w:val="000000" w:themeColor="text1"/>
          <w:sz w:val="26"/>
          <w:szCs w:val="26"/>
        </w:rPr>
        <w:t xml:space="preserve"> reliability concerns by providing additional transmission import capability, allowing greater flexibility in the siting of new generation, and reducing the total amount of new generation required to meet local reliability needs in the Western Los Angeles Basin area. In February 2017, the CPUC issued a final decision approving the Project largely consistent with SCE's proposal and rejected alternative project configurations proposed by CPUC staff members.  </w:t>
      </w:r>
    </w:p>
    <w:p w14:paraId="734436FD" w14:textId="77777777" w:rsidR="00F206D1" w:rsidRPr="00D1084B" w:rsidRDefault="00F206D1" w:rsidP="00F206D1">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In October 2017, SCE was awarded the competitive bid for the new 230 kV portion of substation construction. SCE updated the expected cost of the Project from $608 million to $646 million due to schedule delays and scope changes. Construction of the new 500/230/66/16 kV substation and demolition of the existing 230/66/16 kV substation would occur in phases. Phase 1 would consist of grading and initial site development on the western portion of the project site. Phase 2 would consist of construction of the first half of the new Mesa Substation. During Phase 1 and 2, the existing substation on the eastern portion of the site would remain operational to maintain electrical service to customers during construction. Phase 3 would consist of demolition of the existing 220/66/16 kV substation and construction of the second half of the new substation on the eastern portion of the site. Phase 4 (500 kV substation construction) Request for Proposal (RFP) was issued December 2019 and bids were received February 28, 2020. A winning bid was awarded in May 2020 and SCE’s project team is working to determine the logical start date for Phase 4 construction.</w:t>
      </w:r>
    </w:p>
    <w:p w14:paraId="1AFE7FDF" w14:textId="2D889C95" w:rsidR="00F206D1" w:rsidRPr="00F94F15" w:rsidRDefault="00F206D1" w:rsidP="00F206D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Pr>
          <w:rFonts w:ascii="Times New Roman" w:eastAsia="Malgun Gothic" w:hAnsi="Times New Roman" w:cs="Times New Roman"/>
          <w:bCs/>
          <w:color w:val="000000" w:themeColor="text1"/>
          <w:sz w:val="26"/>
          <w:szCs w:val="26"/>
        </w:rPr>
        <w:t>9.587</w:t>
      </w:r>
      <w:r w:rsidRPr="00D1084B">
        <w:rPr>
          <w:rFonts w:ascii="Times New Roman" w:eastAsia="Malgun Gothic" w:hAnsi="Times New Roman" w:cs="Times New Roman"/>
          <w:bCs/>
          <w:color w:val="000000" w:themeColor="text1"/>
          <w:sz w:val="26"/>
          <w:szCs w:val="26"/>
        </w:rPr>
        <w:t xml:space="preserve"> million.</w:t>
      </w:r>
    </w:p>
    <w:p w14:paraId="1B39C8CC" w14:textId="77777777" w:rsidR="00D5626C" w:rsidRDefault="00D5626C" w:rsidP="00EE1FB9">
      <w:pPr>
        <w:pStyle w:val="StyleHeading1TextLeft0Hanging025"/>
        <w:ind w:left="0" w:firstLine="0"/>
        <w:rPr>
          <w:color w:val="000000" w:themeColor="text1"/>
          <w:sz w:val="26"/>
          <w:szCs w:val="26"/>
        </w:rPr>
      </w:pPr>
    </w:p>
    <w:p w14:paraId="285E76D0" w14:textId="77777777" w:rsidR="00D5626C" w:rsidRDefault="00D5626C" w:rsidP="00EE1FB9">
      <w:pPr>
        <w:pStyle w:val="StyleHeading1TextLeft0Hanging025"/>
        <w:ind w:left="0" w:firstLine="0"/>
        <w:rPr>
          <w:color w:val="000000" w:themeColor="text1"/>
          <w:sz w:val="26"/>
          <w:szCs w:val="26"/>
        </w:rPr>
      </w:pPr>
    </w:p>
    <w:p w14:paraId="63600483" w14:textId="77777777" w:rsidR="002E1C46" w:rsidRPr="002E1C46" w:rsidRDefault="002E1C46" w:rsidP="002E1C46">
      <w:pPr>
        <w:pStyle w:val="StyleHeading1TextLeft0Hanging025"/>
        <w:ind w:left="0" w:firstLine="0"/>
        <w:rPr>
          <w:color w:val="000000" w:themeColor="text1"/>
          <w:sz w:val="26"/>
          <w:szCs w:val="26"/>
        </w:rPr>
      </w:pPr>
    </w:p>
    <w:sectPr w:rsidR="002E1C46" w:rsidRPr="002E1C46" w:rsidSect="00766B01">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39608" w14:textId="77777777" w:rsidR="00ED3763" w:rsidRDefault="00ED3763" w:rsidP="00DC4366">
      <w:pPr>
        <w:spacing w:after="0" w:line="240" w:lineRule="auto"/>
      </w:pPr>
      <w:r>
        <w:separator/>
      </w:r>
    </w:p>
  </w:endnote>
  <w:endnote w:type="continuationSeparator" w:id="0">
    <w:p w14:paraId="6C0A6BF3" w14:textId="77777777" w:rsidR="00ED3763" w:rsidRDefault="00ED3763" w:rsidP="00DC4366">
      <w:pPr>
        <w:spacing w:after="0" w:line="240" w:lineRule="auto"/>
      </w:pPr>
      <w:r>
        <w:continuationSeparator/>
      </w:r>
    </w:p>
  </w:endnote>
  <w:endnote w:type="continuationNotice" w:id="1">
    <w:p w14:paraId="272A9CFD" w14:textId="77777777" w:rsidR="00ED3763" w:rsidRDefault="00ED37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quot;Courier New&quot;">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68C77860" w14:paraId="139CD646" w14:textId="77777777" w:rsidTr="00804419">
      <w:trPr>
        <w:trHeight w:val="300"/>
      </w:trPr>
      <w:tc>
        <w:tcPr>
          <w:tcW w:w="3600" w:type="dxa"/>
        </w:tcPr>
        <w:p w14:paraId="6CC712B3" w14:textId="4F666160" w:rsidR="68C77860" w:rsidRDefault="68C77860" w:rsidP="00C97DB9">
          <w:pPr>
            <w:pStyle w:val="Header"/>
            <w:ind w:left="-115"/>
          </w:pPr>
        </w:p>
      </w:tc>
      <w:tc>
        <w:tcPr>
          <w:tcW w:w="3600" w:type="dxa"/>
        </w:tcPr>
        <w:p w14:paraId="454DD29D" w14:textId="4B8FBB9D" w:rsidR="68C77860" w:rsidRDefault="68C77860" w:rsidP="00C97DB9">
          <w:pPr>
            <w:pStyle w:val="Header"/>
            <w:jc w:val="center"/>
          </w:pPr>
        </w:p>
      </w:tc>
      <w:tc>
        <w:tcPr>
          <w:tcW w:w="3600" w:type="dxa"/>
        </w:tcPr>
        <w:p w14:paraId="61EF95DA" w14:textId="4BEAA8DB" w:rsidR="68C77860" w:rsidRDefault="68C77860" w:rsidP="00C97DB9">
          <w:pPr>
            <w:pStyle w:val="Header"/>
            <w:ind w:right="-115"/>
            <w:jc w:val="right"/>
          </w:pPr>
        </w:p>
      </w:tc>
    </w:tr>
  </w:tbl>
  <w:p w14:paraId="7A97066C" w14:textId="177B0FD3" w:rsidR="009B1139" w:rsidRDefault="009B1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3DA44" w14:textId="77777777" w:rsidR="00ED3763" w:rsidRDefault="00ED3763" w:rsidP="00DC4366">
      <w:pPr>
        <w:spacing w:after="0" w:line="240" w:lineRule="auto"/>
      </w:pPr>
      <w:r>
        <w:separator/>
      </w:r>
    </w:p>
  </w:footnote>
  <w:footnote w:type="continuationSeparator" w:id="0">
    <w:p w14:paraId="339CCD37" w14:textId="77777777" w:rsidR="00ED3763" w:rsidRDefault="00ED3763" w:rsidP="00DC4366">
      <w:pPr>
        <w:spacing w:after="0" w:line="240" w:lineRule="auto"/>
      </w:pPr>
      <w:r>
        <w:continuationSeparator/>
      </w:r>
    </w:p>
  </w:footnote>
  <w:footnote w:type="continuationNotice" w:id="1">
    <w:p w14:paraId="4F8853FA" w14:textId="77777777" w:rsidR="00ED3763" w:rsidRDefault="00ED3763">
      <w:pPr>
        <w:spacing w:after="0" w:line="240" w:lineRule="auto"/>
      </w:pPr>
    </w:p>
  </w:footnote>
  <w:footnote w:id="2">
    <w:p w14:paraId="301D84D3" w14:textId="77777777" w:rsidR="00DC4366" w:rsidRPr="00444723" w:rsidRDefault="00DC4366" w:rsidP="00DC4366">
      <w:pPr>
        <w:pStyle w:val="FootnoteText"/>
        <w:rPr>
          <w:rFonts w:ascii="Times New Roman" w:hAnsi="Times New Roman" w:cs="Times New Roman"/>
        </w:rPr>
      </w:pPr>
      <w:r w:rsidRPr="00444723">
        <w:rPr>
          <w:rStyle w:val="FootnoteReference"/>
          <w:rFonts w:ascii="Times New Roman" w:hAnsi="Times New Roman" w:cs="Times New Roman"/>
        </w:rPr>
        <w:footnoteRef/>
      </w:r>
      <w:r w:rsidRPr="00444723">
        <w:rPr>
          <w:rFonts w:ascii="Times New Roman" w:hAnsi="Times New Roman" w:cs="Times New Roman"/>
        </w:rPr>
        <w:t xml:space="preserve"> Available at http://www.cpuc.ca.gov/gos/GO95/go_95_table_1.html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68C77860" w14:paraId="37EB0B68" w14:textId="77777777" w:rsidTr="007A2AE8">
      <w:trPr>
        <w:trHeight w:val="300"/>
      </w:trPr>
      <w:tc>
        <w:tcPr>
          <w:tcW w:w="3600" w:type="dxa"/>
        </w:tcPr>
        <w:p w14:paraId="7F63D641" w14:textId="02F36795" w:rsidR="68C77860" w:rsidRDefault="68C77860" w:rsidP="00C97DB9">
          <w:pPr>
            <w:pStyle w:val="Header"/>
            <w:ind w:left="-115"/>
          </w:pPr>
        </w:p>
      </w:tc>
      <w:tc>
        <w:tcPr>
          <w:tcW w:w="3600" w:type="dxa"/>
        </w:tcPr>
        <w:p w14:paraId="598092FA" w14:textId="4003357F" w:rsidR="68C77860" w:rsidRDefault="68C77860" w:rsidP="00C97DB9">
          <w:pPr>
            <w:pStyle w:val="Header"/>
            <w:jc w:val="center"/>
          </w:pPr>
        </w:p>
      </w:tc>
      <w:tc>
        <w:tcPr>
          <w:tcW w:w="3600" w:type="dxa"/>
        </w:tcPr>
        <w:p w14:paraId="5FEFAC6E" w14:textId="31406493" w:rsidR="00BA1B66" w:rsidRPr="00BA1B66" w:rsidRDefault="00BA1B66"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r w:rsidRPr="00BA1B66">
            <w:rPr>
              <w:rFonts w:ascii="Times New Roman" w:hAnsi="Times New Roman" w:cs="Times New Roman"/>
              <w:kern w:val="0"/>
              <w:sz w:val="18"/>
              <w:szCs w:val="18"/>
              <w14:ligatures w14:val="none"/>
            </w:rPr>
            <w:t>TO202</w:t>
          </w:r>
          <w:r>
            <w:rPr>
              <w:rFonts w:ascii="Times New Roman" w:hAnsi="Times New Roman" w:cs="Times New Roman"/>
              <w:kern w:val="0"/>
              <w:sz w:val="18"/>
              <w:szCs w:val="18"/>
              <w14:ligatures w14:val="none"/>
            </w:rPr>
            <w:t xml:space="preserve">5 </w:t>
          </w:r>
          <w:r w:rsidRPr="00BA1B66">
            <w:rPr>
              <w:rFonts w:ascii="Times New Roman" w:hAnsi="Times New Roman" w:cs="Times New Roman"/>
              <w:kern w:val="0"/>
              <w:sz w:val="18"/>
              <w:szCs w:val="18"/>
              <w14:ligatures w14:val="none"/>
            </w:rPr>
            <w:t>Annual Update</w:t>
          </w:r>
        </w:p>
        <w:p w14:paraId="08B6F2C6" w14:textId="77777777" w:rsidR="00BA1B66" w:rsidRPr="00BA1B66" w:rsidRDefault="00BA1B66"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r w:rsidRPr="00BA1B66">
            <w:rPr>
              <w:rFonts w:ascii="Times New Roman" w:hAnsi="Times New Roman" w:cs="Times New Roman"/>
              <w:kern w:val="0"/>
              <w:sz w:val="18"/>
              <w:szCs w:val="18"/>
              <w14:ligatures w14:val="none"/>
            </w:rPr>
            <w:t>Attachment 4</w:t>
          </w:r>
        </w:p>
        <w:p w14:paraId="6D8C3E3D" w14:textId="77777777" w:rsidR="00BA1B66" w:rsidRPr="00BA1B66" w:rsidRDefault="00BA1B66"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r w:rsidRPr="00BA1B66">
            <w:rPr>
              <w:rFonts w:ascii="Times New Roman" w:hAnsi="Times New Roman" w:cs="Times New Roman"/>
              <w:kern w:val="0"/>
              <w:sz w:val="18"/>
              <w:szCs w:val="18"/>
              <w14:ligatures w14:val="none"/>
            </w:rPr>
            <w:t xml:space="preserve">WP-Schedule 10&amp;16-Identification </w:t>
          </w:r>
        </w:p>
        <w:p w14:paraId="383C9FB9" w14:textId="77777777" w:rsidR="00BA1B66" w:rsidRPr="00BA1B66" w:rsidRDefault="00BA1B66"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r w:rsidRPr="00BA1B66">
            <w:rPr>
              <w:rFonts w:ascii="Times New Roman" w:hAnsi="Times New Roman" w:cs="Times New Roman"/>
              <w:kern w:val="0"/>
              <w:sz w:val="18"/>
              <w:szCs w:val="18"/>
              <w14:ligatures w14:val="none"/>
            </w:rPr>
            <w:t>of ISO Projects Above $5M</w:t>
          </w:r>
        </w:p>
        <w:p w14:paraId="08C855E6" w14:textId="77777777" w:rsidR="00BA1B66" w:rsidRPr="00BA1B66" w:rsidRDefault="003C0758" w:rsidP="00BA1B66">
          <w:pPr>
            <w:tabs>
              <w:tab w:val="center" w:pos="4680"/>
              <w:tab w:val="right" w:pos="9360"/>
            </w:tabs>
            <w:spacing w:after="0" w:line="240" w:lineRule="auto"/>
            <w:jc w:val="right"/>
            <w:rPr>
              <w:rFonts w:ascii="Times New Roman" w:hAnsi="Times New Roman" w:cs="Times New Roman"/>
              <w:kern w:val="0"/>
              <w:sz w:val="18"/>
              <w:szCs w:val="18"/>
              <w14:ligatures w14:val="none"/>
            </w:rPr>
          </w:pPr>
          <w:sdt>
            <w:sdtPr>
              <w:rPr>
                <w:rFonts w:ascii="Times New Roman" w:hAnsi="Times New Roman" w:cs="Times New Roman"/>
                <w:kern w:val="0"/>
                <w:sz w:val="18"/>
                <w:szCs w:val="18"/>
                <w14:ligatures w14:val="none"/>
              </w:rPr>
              <w:id w:val="-1318336367"/>
              <w:docPartObj>
                <w:docPartGallery w:val="Page Numbers (Top of Page)"/>
                <w:docPartUnique/>
              </w:docPartObj>
            </w:sdtPr>
            <w:sdtEndPr/>
            <w:sdtContent>
              <w:r w:rsidR="00BA1B66" w:rsidRPr="00BA1B66">
                <w:rPr>
                  <w:rFonts w:ascii="Times New Roman" w:hAnsi="Times New Roman" w:cs="Times New Roman"/>
                  <w:kern w:val="0"/>
                  <w:sz w:val="18"/>
                  <w:szCs w:val="18"/>
                  <w14:ligatures w14:val="none"/>
                </w:rPr>
                <w:t xml:space="preserve">Page </w:t>
              </w:r>
              <w:r w:rsidR="00BA1B66" w:rsidRPr="00BA1B66">
                <w:rPr>
                  <w:rFonts w:ascii="Times New Roman" w:hAnsi="Times New Roman" w:cs="Times New Roman"/>
                  <w:bCs/>
                  <w:kern w:val="0"/>
                  <w:sz w:val="18"/>
                  <w:szCs w:val="18"/>
                  <w14:ligatures w14:val="none"/>
                </w:rPr>
                <w:fldChar w:fldCharType="begin"/>
              </w:r>
              <w:r w:rsidR="00BA1B66" w:rsidRPr="00BA1B66">
                <w:rPr>
                  <w:rFonts w:ascii="Times New Roman" w:hAnsi="Times New Roman" w:cs="Times New Roman"/>
                  <w:bCs/>
                  <w:kern w:val="0"/>
                  <w:sz w:val="18"/>
                  <w:szCs w:val="18"/>
                  <w14:ligatures w14:val="none"/>
                </w:rPr>
                <w:instrText xml:space="preserve"> PAGE </w:instrText>
              </w:r>
              <w:r w:rsidR="00BA1B66" w:rsidRPr="00BA1B66">
                <w:rPr>
                  <w:rFonts w:ascii="Times New Roman" w:hAnsi="Times New Roman" w:cs="Times New Roman"/>
                  <w:bCs/>
                  <w:kern w:val="0"/>
                  <w:sz w:val="18"/>
                  <w:szCs w:val="18"/>
                  <w14:ligatures w14:val="none"/>
                </w:rPr>
                <w:fldChar w:fldCharType="separate"/>
              </w:r>
              <w:r w:rsidR="00BA1B66" w:rsidRPr="00BA1B66">
                <w:rPr>
                  <w:rFonts w:ascii="Times New Roman" w:hAnsi="Times New Roman" w:cs="Times New Roman"/>
                  <w:bCs/>
                  <w:kern w:val="0"/>
                  <w:sz w:val="18"/>
                  <w:szCs w:val="18"/>
                  <w14:ligatures w14:val="none"/>
                </w:rPr>
                <w:t>1</w:t>
              </w:r>
              <w:r w:rsidR="00BA1B66" w:rsidRPr="00BA1B66">
                <w:rPr>
                  <w:rFonts w:ascii="Times New Roman" w:hAnsi="Times New Roman" w:cs="Times New Roman"/>
                  <w:bCs/>
                  <w:kern w:val="0"/>
                  <w:sz w:val="18"/>
                  <w:szCs w:val="18"/>
                  <w14:ligatures w14:val="none"/>
                </w:rPr>
                <w:fldChar w:fldCharType="end"/>
              </w:r>
              <w:r w:rsidR="00BA1B66" w:rsidRPr="00BA1B66">
                <w:rPr>
                  <w:rFonts w:ascii="Times New Roman" w:hAnsi="Times New Roman" w:cs="Times New Roman"/>
                  <w:kern w:val="0"/>
                  <w:sz w:val="18"/>
                  <w:szCs w:val="18"/>
                  <w14:ligatures w14:val="none"/>
                </w:rPr>
                <w:t xml:space="preserve"> of </w:t>
              </w:r>
              <w:r w:rsidR="00BA1B66" w:rsidRPr="00BA1B66">
                <w:rPr>
                  <w:rFonts w:ascii="Times New Roman" w:hAnsi="Times New Roman" w:cs="Times New Roman"/>
                  <w:bCs/>
                  <w:kern w:val="0"/>
                  <w:sz w:val="18"/>
                  <w:szCs w:val="18"/>
                  <w14:ligatures w14:val="none"/>
                </w:rPr>
                <w:fldChar w:fldCharType="begin"/>
              </w:r>
              <w:r w:rsidR="00BA1B66" w:rsidRPr="00BA1B66">
                <w:rPr>
                  <w:rFonts w:ascii="Times New Roman" w:hAnsi="Times New Roman" w:cs="Times New Roman"/>
                  <w:bCs/>
                  <w:kern w:val="0"/>
                  <w:sz w:val="18"/>
                  <w:szCs w:val="18"/>
                  <w14:ligatures w14:val="none"/>
                </w:rPr>
                <w:instrText xml:space="preserve"> NUMPAGES  </w:instrText>
              </w:r>
              <w:r w:rsidR="00BA1B66" w:rsidRPr="00BA1B66">
                <w:rPr>
                  <w:rFonts w:ascii="Times New Roman" w:hAnsi="Times New Roman" w:cs="Times New Roman"/>
                  <w:bCs/>
                  <w:kern w:val="0"/>
                  <w:sz w:val="18"/>
                  <w:szCs w:val="18"/>
                  <w14:ligatures w14:val="none"/>
                </w:rPr>
                <w:fldChar w:fldCharType="separate"/>
              </w:r>
              <w:r w:rsidR="00BA1B66" w:rsidRPr="00BA1B66">
                <w:rPr>
                  <w:rFonts w:ascii="Times New Roman" w:hAnsi="Times New Roman" w:cs="Times New Roman"/>
                  <w:bCs/>
                  <w:kern w:val="0"/>
                  <w:sz w:val="18"/>
                  <w:szCs w:val="18"/>
                  <w14:ligatures w14:val="none"/>
                </w:rPr>
                <w:t>25</w:t>
              </w:r>
              <w:r w:rsidR="00BA1B66" w:rsidRPr="00BA1B66">
                <w:rPr>
                  <w:rFonts w:ascii="Times New Roman" w:hAnsi="Times New Roman" w:cs="Times New Roman"/>
                  <w:bCs/>
                  <w:kern w:val="0"/>
                  <w:sz w:val="18"/>
                  <w:szCs w:val="18"/>
                  <w14:ligatures w14:val="none"/>
                </w:rPr>
                <w:fldChar w:fldCharType="end"/>
              </w:r>
            </w:sdtContent>
          </w:sdt>
        </w:p>
        <w:p w14:paraId="61BA55CB" w14:textId="1EA5CC76" w:rsidR="68C77860" w:rsidRDefault="68C77860" w:rsidP="00C97DB9">
          <w:pPr>
            <w:pStyle w:val="Header"/>
            <w:ind w:right="-115"/>
            <w:jc w:val="right"/>
          </w:pPr>
        </w:p>
      </w:tc>
    </w:tr>
  </w:tbl>
  <w:p w14:paraId="16BB42C5" w14:textId="17A778D7" w:rsidR="009B1139" w:rsidRDefault="009B11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970953"/>
    <w:multiLevelType w:val="hybridMultilevel"/>
    <w:tmpl w:val="FFFFFFFF"/>
    <w:lvl w:ilvl="0" w:tplc="8A3456AC">
      <w:start w:val="1"/>
      <w:numFmt w:val="bullet"/>
      <w:lvlText w:val=""/>
      <w:lvlJc w:val="left"/>
      <w:pPr>
        <w:ind w:left="720" w:hanging="360"/>
      </w:pPr>
      <w:rPr>
        <w:rFonts w:ascii="Symbol" w:hAnsi="Symbol" w:hint="default"/>
      </w:rPr>
    </w:lvl>
    <w:lvl w:ilvl="1" w:tplc="955C590C">
      <w:start w:val="1"/>
      <w:numFmt w:val="bullet"/>
      <w:lvlText w:val=""/>
      <w:lvlJc w:val="left"/>
      <w:pPr>
        <w:ind w:left="1440" w:hanging="360"/>
      </w:pPr>
      <w:rPr>
        <w:rFonts w:ascii="Symbol" w:hAnsi="Symbol" w:hint="default"/>
      </w:rPr>
    </w:lvl>
    <w:lvl w:ilvl="2" w:tplc="9120043A">
      <w:start w:val="1"/>
      <w:numFmt w:val="bullet"/>
      <w:lvlText w:val=""/>
      <w:lvlJc w:val="left"/>
      <w:pPr>
        <w:ind w:left="2160" w:hanging="360"/>
      </w:pPr>
      <w:rPr>
        <w:rFonts w:ascii="Wingdings" w:hAnsi="Wingdings" w:hint="default"/>
      </w:rPr>
    </w:lvl>
    <w:lvl w:ilvl="3" w:tplc="8A94EFA0">
      <w:start w:val="1"/>
      <w:numFmt w:val="bullet"/>
      <w:lvlText w:val=""/>
      <w:lvlJc w:val="left"/>
      <w:pPr>
        <w:ind w:left="2880" w:hanging="360"/>
      </w:pPr>
      <w:rPr>
        <w:rFonts w:ascii="Symbol" w:hAnsi="Symbol" w:hint="default"/>
      </w:rPr>
    </w:lvl>
    <w:lvl w:ilvl="4" w:tplc="5B0082D2">
      <w:start w:val="1"/>
      <w:numFmt w:val="bullet"/>
      <w:lvlText w:val="o"/>
      <w:lvlJc w:val="left"/>
      <w:pPr>
        <w:ind w:left="3600" w:hanging="360"/>
      </w:pPr>
      <w:rPr>
        <w:rFonts w:ascii="Courier New" w:hAnsi="Courier New" w:hint="default"/>
      </w:rPr>
    </w:lvl>
    <w:lvl w:ilvl="5" w:tplc="4B8EE480">
      <w:start w:val="1"/>
      <w:numFmt w:val="bullet"/>
      <w:lvlText w:val=""/>
      <w:lvlJc w:val="left"/>
      <w:pPr>
        <w:ind w:left="4320" w:hanging="360"/>
      </w:pPr>
      <w:rPr>
        <w:rFonts w:ascii="Wingdings" w:hAnsi="Wingdings" w:hint="default"/>
      </w:rPr>
    </w:lvl>
    <w:lvl w:ilvl="6" w:tplc="C16E246C">
      <w:start w:val="1"/>
      <w:numFmt w:val="bullet"/>
      <w:lvlText w:val=""/>
      <w:lvlJc w:val="left"/>
      <w:pPr>
        <w:ind w:left="5040" w:hanging="360"/>
      </w:pPr>
      <w:rPr>
        <w:rFonts w:ascii="Symbol" w:hAnsi="Symbol" w:hint="default"/>
      </w:rPr>
    </w:lvl>
    <w:lvl w:ilvl="7" w:tplc="9E968D80">
      <w:start w:val="1"/>
      <w:numFmt w:val="bullet"/>
      <w:lvlText w:val="o"/>
      <w:lvlJc w:val="left"/>
      <w:pPr>
        <w:ind w:left="5760" w:hanging="360"/>
      </w:pPr>
      <w:rPr>
        <w:rFonts w:ascii="Courier New" w:hAnsi="Courier New" w:hint="default"/>
      </w:rPr>
    </w:lvl>
    <w:lvl w:ilvl="8" w:tplc="EBA47236">
      <w:start w:val="1"/>
      <w:numFmt w:val="bullet"/>
      <w:lvlText w:val=""/>
      <w:lvlJc w:val="left"/>
      <w:pPr>
        <w:ind w:left="6480" w:hanging="360"/>
      </w:pPr>
      <w:rPr>
        <w:rFonts w:ascii="Wingdings" w:hAnsi="Wingdings" w:hint="default"/>
      </w:rPr>
    </w:lvl>
  </w:abstractNum>
  <w:abstractNum w:abstractNumId="1" w15:restartNumberingAfterBreak="0">
    <w:nsid w:val="355F5DCC"/>
    <w:multiLevelType w:val="hybridMultilevel"/>
    <w:tmpl w:val="FFFFFFFF"/>
    <w:lvl w:ilvl="0" w:tplc="AA58A45A">
      <w:start w:val="1"/>
      <w:numFmt w:val="bullet"/>
      <w:lvlText w:val="o"/>
      <w:lvlJc w:val="left"/>
      <w:pPr>
        <w:ind w:left="720" w:hanging="360"/>
      </w:pPr>
      <w:rPr>
        <w:rFonts w:ascii="&quot;Courier New&quot;" w:hAnsi="&quot;Courier New&quot;" w:hint="default"/>
      </w:rPr>
    </w:lvl>
    <w:lvl w:ilvl="1" w:tplc="8ED64614">
      <w:start w:val="1"/>
      <w:numFmt w:val="bullet"/>
      <w:lvlText w:val="o"/>
      <w:lvlJc w:val="left"/>
      <w:pPr>
        <w:ind w:left="1440" w:hanging="360"/>
      </w:pPr>
      <w:rPr>
        <w:rFonts w:ascii="Courier New" w:hAnsi="Courier New" w:hint="default"/>
      </w:rPr>
    </w:lvl>
    <w:lvl w:ilvl="2" w:tplc="EF52E68A">
      <w:start w:val="1"/>
      <w:numFmt w:val="bullet"/>
      <w:lvlText w:val=""/>
      <w:lvlJc w:val="left"/>
      <w:pPr>
        <w:ind w:left="2160" w:hanging="360"/>
      </w:pPr>
      <w:rPr>
        <w:rFonts w:ascii="Wingdings" w:hAnsi="Wingdings" w:hint="default"/>
      </w:rPr>
    </w:lvl>
    <w:lvl w:ilvl="3" w:tplc="C2025B6C">
      <w:start w:val="1"/>
      <w:numFmt w:val="bullet"/>
      <w:lvlText w:val=""/>
      <w:lvlJc w:val="left"/>
      <w:pPr>
        <w:ind w:left="2880" w:hanging="360"/>
      </w:pPr>
      <w:rPr>
        <w:rFonts w:ascii="Symbol" w:hAnsi="Symbol" w:hint="default"/>
      </w:rPr>
    </w:lvl>
    <w:lvl w:ilvl="4" w:tplc="B5503186">
      <w:start w:val="1"/>
      <w:numFmt w:val="bullet"/>
      <w:lvlText w:val="o"/>
      <w:lvlJc w:val="left"/>
      <w:pPr>
        <w:ind w:left="3600" w:hanging="360"/>
      </w:pPr>
      <w:rPr>
        <w:rFonts w:ascii="Courier New" w:hAnsi="Courier New" w:hint="default"/>
      </w:rPr>
    </w:lvl>
    <w:lvl w:ilvl="5" w:tplc="51A82408">
      <w:start w:val="1"/>
      <w:numFmt w:val="bullet"/>
      <w:lvlText w:val=""/>
      <w:lvlJc w:val="left"/>
      <w:pPr>
        <w:ind w:left="4320" w:hanging="360"/>
      </w:pPr>
      <w:rPr>
        <w:rFonts w:ascii="Wingdings" w:hAnsi="Wingdings" w:hint="default"/>
      </w:rPr>
    </w:lvl>
    <w:lvl w:ilvl="6" w:tplc="C422D2EE">
      <w:start w:val="1"/>
      <w:numFmt w:val="bullet"/>
      <w:lvlText w:val=""/>
      <w:lvlJc w:val="left"/>
      <w:pPr>
        <w:ind w:left="5040" w:hanging="360"/>
      </w:pPr>
      <w:rPr>
        <w:rFonts w:ascii="Symbol" w:hAnsi="Symbol" w:hint="default"/>
      </w:rPr>
    </w:lvl>
    <w:lvl w:ilvl="7" w:tplc="9B08F998">
      <w:start w:val="1"/>
      <w:numFmt w:val="bullet"/>
      <w:lvlText w:val="o"/>
      <w:lvlJc w:val="left"/>
      <w:pPr>
        <w:ind w:left="5760" w:hanging="360"/>
      </w:pPr>
      <w:rPr>
        <w:rFonts w:ascii="Courier New" w:hAnsi="Courier New" w:hint="default"/>
      </w:rPr>
    </w:lvl>
    <w:lvl w:ilvl="8" w:tplc="EBD26588">
      <w:start w:val="1"/>
      <w:numFmt w:val="bullet"/>
      <w:lvlText w:val=""/>
      <w:lvlJc w:val="left"/>
      <w:pPr>
        <w:ind w:left="6480" w:hanging="360"/>
      </w:pPr>
      <w:rPr>
        <w:rFonts w:ascii="Wingdings" w:hAnsi="Wingdings" w:hint="default"/>
      </w:rPr>
    </w:lvl>
  </w:abstractNum>
  <w:abstractNum w:abstractNumId="2" w15:restartNumberingAfterBreak="0">
    <w:nsid w:val="39DA1429"/>
    <w:multiLevelType w:val="hybridMultilevel"/>
    <w:tmpl w:val="52A29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8AD0195"/>
    <w:multiLevelType w:val="hybridMultilevel"/>
    <w:tmpl w:val="FFFFFFFF"/>
    <w:lvl w:ilvl="0" w:tplc="89C0FAAC">
      <w:start w:val="1"/>
      <w:numFmt w:val="bullet"/>
      <w:lvlText w:val="o"/>
      <w:lvlJc w:val="left"/>
      <w:pPr>
        <w:ind w:left="720" w:hanging="360"/>
      </w:pPr>
      <w:rPr>
        <w:rFonts w:ascii="&quot;Courier New&quot;" w:hAnsi="&quot;Courier New&quot;" w:hint="default"/>
      </w:rPr>
    </w:lvl>
    <w:lvl w:ilvl="1" w:tplc="1BC223E4">
      <w:start w:val="1"/>
      <w:numFmt w:val="bullet"/>
      <w:lvlText w:val="o"/>
      <w:lvlJc w:val="left"/>
      <w:pPr>
        <w:ind w:left="1440" w:hanging="360"/>
      </w:pPr>
      <w:rPr>
        <w:rFonts w:ascii="Courier New" w:hAnsi="Courier New" w:hint="default"/>
      </w:rPr>
    </w:lvl>
    <w:lvl w:ilvl="2" w:tplc="3ACAC01C">
      <w:start w:val="1"/>
      <w:numFmt w:val="bullet"/>
      <w:lvlText w:val=""/>
      <w:lvlJc w:val="left"/>
      <w:pPr>
        <w:ind w:left="2160" w:hanging="360"/>
      </w:pPr>
      <w:rPr>
        <w:rFonts w:ascii="Wingdings" w:hAnsi="Wingdings" w:hint="default"/>
      </w:rPr>
    </w:lvl>
    <w:lvl w:ilvl="3" w:tplc="AB4AB614">
      <w:start w:val="1"/>
      <w:numFmt w:val="bullet"/>
      <w:lvlText w:val=""/>
      <w:lvlJc w:val="left"/>
      <w:pPr>
        <w:ind w:left="2880" w:hanging="360"/>
      </w:pPr>
      <w:rPr>
        <w:rFonts w:ascii="Symbol" w:hAnsi="Symbol" w:hint="default"/>
      </w:rPr>
    </w:lvl>
    <w:lvl w:ilvl="4" w:tplc="BD32C818">
      <w:start w:val="1"/>
      <w:numFmt w:val="bullet"/>
      <w:lvlText w:val="o"/>
      <w:lvlJc w:val="left"/>
      <w:pPr>
        <w:ind w:left="3600" w:hanging="360"/>
      </w:pPr>
      <w:rPr>
        <w:rFonts w:ascii="Courier New" w:hAnsi="Courier New" w:hint="default"/>
      </w:rPr>
    </w:lvl>
    <w:lvl w:ilvl="5" w:tplc="C3B2FCC6">
      <w:start w:val="1"/>
      <w:numFmt w:val="bullet"/>
      <w:lvlText w:val=""/>
      <w:lvlJc w:val="left"/>
      <w:pPr>
        <w:ind w:left="4320" w:hanging="360"/>
      </w:pPr>
      <w:rPr>
        <w:rFonts w:ascii="Wingdings" w:hAnsi="Wingdings" w:hint="default"/>
      </w:rPr>
    </w:lvl>
    <w:lvl w:ilvl="6" w:tplc="C90C8A24">
      <w:start w:val="1"/>
      <w:numFmt w:val="bullet"/>
      <w:lvlText w:val=""/>
      <w:lvlJc w:val="left"/>
      <w:pPr>
        <w:ind w:left="5040" w:hanging="360"/>
      </w:pPr>
      <w:rPr>
        <w:rFonts w:ascii="Symbol" w:hAnsi="Symbol" w:hint="default"/>
      </w:rPr>
    </w:lvl>
    <w:lvl w:ilvl="7" w:tplc="2CAAEF76">
      <w:start w:val="1"/>
      <w:numFmt w:val="bullet"/>
      <w:lvlText w:val="o"/>
      <w:lvlJc w:val="left"/>
      <w:pPr>
        <w:ind w:left="5760" w:hanging="360"/>
      </w:pPr>
      <w:rPr>
        <w:rFonts w:ascii="Courier New" w:hAnsi="Courier New" w:hint="default"/>
      </w:rPr>
    </w:lvl>
    <w:lvl w:ilvl="8" w:tplc="18EEC9FA">
      <w:start w:val="1"/>
      <w:numFmt w:val="bullet"/>
      <w:lvlText w:val=""/>
      <w:lvlJc w:val="left"/>
      <w:pPr>
        <w:ind w:left="6480" w:hanging="360"/>
      </w:pPr>
      <w:rPr>
        <w:rFonts w:ascii="Wingdings" w:hAnsi="Wingdings" w:hint="default"/>
      </w:rPr>
    </w:lvl>
  </w:abstractNum>
  <w:abstractNum w:abstractNumId="4" w15:restartNumberingAfterBreak="0">
    <w:nsid w:val="5DB7700F"/>
    <w:multiLevelType w:val="hybridMultilevel"/>
    <w:tmpl w:val="FFFFFFFF"/>
    <w:lvl w:ilvl="0" w:tplc="83608A16">
      <w:start w:val="1"/>
      <w:numFmt w:val="bullet"/>
      <w:lvlText w:val="o"/>
      <w:lvlJc w:val="left"/>
      <w:pPr>
        <w:ind w:left="720" w:hanging="360"/>
      </w:pPr>
      <w:rPr>
        <w:rFonts w:ascii="&quot;Courier New&quot;" w:hAnsi="&quot;Courier New&quot;" w:hint="default"/>
      </w:rPr>
    </w:lvl>
    <w:lvl w:ilvl="1" w:tplc="E8C42544">
      <w:start w:val="1"/>
      <w:numFmt w:val="bullet"/>
      <w:lvlText w:val="o"/>
      <w:lvlJc w:val="left"/>
      <w:pPr>
        <w:ind w:left="1440" w:hanging="360"/>
      </w:pPr>
      <w:rPr>
        <w:rFonts w:ascii="Courier New" w:hAnsi="Courier New" w:hint="default"/>
      </w:rPr>
    </w:lvl>
    <w:lvl w:ilvl="2" w:tplc="0762A290">
      <w:start w:val="1"/>
      <w:numFmt w:val="bullet"/>
      <w:lvlText w:val=""/>
      <w:lvlJc w:val="left"/>
      <w:pPr>
        <w:ind w:left="2160" w:hanging="360"/>
      </w:pPr>
      <w:rPr>
        <w:rFonts w:ascii="Wingdings" w:hAnsi="Wingdings" w:hint="default"/>
      </w:rPr>
    </w:lvl>
    <w:lvl w:ilvl="3" w:tplc="EBBC145A">
      <w:start w:val="1"/>
      <w:numFmt w:val="bullet"/>
      <w:lvlText w:val=""/>
      <w:lvlJc w:val="left"/>
      <w:pPr>
        <w:ind w:left="2880" w:hanging="360"/>
      </w:pPr>
      <w:rPr>
        <w:rFonts w:ascii="Symbol" w:hAnsi="Symbol" w:hint="default"/>
      </w:rPr>
    </w:lvl>
    <w:lvl w:ilvl="4" w:tplc="278CAA78">
      <w:start w:val="1"/>
      <w:numFmt w:val="bullet"/>
      <w:lvlText w:val="o"/>
      <w:lvlJc w:val="left"/>
      <w:pPr>
        <w:ind w:left="3600" w:hanging="360"/>
      </w:pPr>
      <w:rPr>
        <w:rFonts w:ascii="Courier New" w:hAnsi="Courier New" w:hint="default"/>
      </w:rPr>
    </w:lvl>
    <w:lvl w:ilvl="5" w:tplc="7132055E">
      <w:start w:val="1"/>
      <w:numFmt w:val="bullet"/>
      <w:lvlText w:val=""/>
      <w:lvlJc w:val="left"/>
      <w:pPr>
        <w:ind w:left="4320" w:hanging="360"/>
      </w:pPr>
      <w:rPr>
        <w:rFonts w:ascii="Wingdings" w:hAnsi="Wingdings" w:hint="default"/>
      </w:rPr>
    </w:lvl>
    <w:lvl w:ilvl="6" w:tplc="3F2A9BE0">
      <w:start w:val="1"/>
      <w:numFmt w:val="bullet"/>
      <w:lvlText w:val=""/>
      <w:lvlJc w:val="left"/>
      <w:pPr>
        <w:ind w:left="5040" w:hanging="360"/>
      </w:pPr>
      <w:rPr>
        <w:rFonts w:ascii="Symbol" w:hAnsi="Symbol" w:hint="default"/>
      </w:rPr>
    </w:lvl>
    <w:lvl w:ilvl="7" w:tplc="7B9C7618">
      <w:start w:val="1"/>
      <w:numFmt w:val="bullet"/>
      <w:lvlText w:val="o"/>
      <w:lvlJc w:val="left"/>
      <w:pPr>
        <w:ind w:left="5760" w:hanging="360"/>
      </w:pPr>
      <w:rPr>
        <w:rFonts w:ascii="Courier New" w:hAnsi="Courier New" w:hint="default"/>
      </w:rPr>
    </w:lvl>
    <w:lvl w:ilvl="8" w:tplc="17906CCC">
      <w:start w:val="1"/>
      <w:numFmt w:val="bullet"/>
      <w:lvlText w:val=""/>
      <w:lvlJc w:val="left"/>
      <w:pPr>
        <w:ind w:left="6480" w:hanging="360"/>
      </w:pPr>
      <w:rPr>
        <w:rFonts w:ascii="Wingdings" w:hAnsi="Wingdings" w:hint="default"/>
      </w:rPr>
    </w:lvl>
  </w:abstractNum>
  <w:abstractNum w:abstractNumId="5" w15:restartNumberingAfterBreak="0">
    <w:nsid w:val="5F8028C9"/>
    <w:multiLevelType w:val="hybridMultilevel"/>
    <w:tmpl w:val="FFFFFFFF"/>
    <w:lvl w:ilvl="0" w:tplc="5736117A">
      <w:start w:val="1"/>
      <w:numFmt w:val="bullet"/>
      <w:lvlText w:val="o"/>
      <w:lvlJc w:val="left"/>
      <w:pPr>
        <w:ind w:left="720" w:hanging="360"/>
      </w:pPr>
      <w:rPr>
        <w:rFonts w:ascii="&quot;Courier New&quot;" w:hAnsi="&quot;Courier New&quot;" w:hint="default"/>
      </w:rPr>
    </w:lvl>
    <w:lvl w:ilvl="1" w:tplc="E3EA3BB0">
      <w:start w:val="1"/>
      <w:numFmt w:val="bullet"/>
      <w:lvlText w:val="o"/>
      <w:lvlJc w:val="left"/>
      <w:pPr>
        <w:ind w:left="1440" w:hanging="360"/>
      </w:pPr>
      <w:rPr>
        <w:rFonts w:ascii="Courier New" w:hAnsi="Courier New" w:hint="default"/>
      </w:rPr>
    </w:lvl>
    <w:lvl w:ilvl="2" w:tplc="1C4E3914">
      <w:start w:val="1"/>
      <w:numFmt w:val="bullet"/>
      <w:lvlText w:val=""/>
      <w:lvlJc w:val="left"/>
      <w:pPr>
        <w:ind w:left="2160" w:hanging="360"/>
      </w:pPr>
      <w:rPr>
        <w:rFonts w:ascii="Wingdings" w:hAnsi="Wingdings" w:hint="default"/>
      </w:rPr>
    </w:lvl>
    <w:lvl w:ilvl="3" w:tplc="0F28C558">
      <w:start w:val="1"/>
      <w:numFmt w:val="bullet"/>
      <w:lvlText w:val=""/>
      <w:lvlJc w:val="left"/>
      <w:pPr>
        <w:ind w:left="2880" w:hanging="360"/>
      </w:pPr>
      <w:rPr>
        <w:rFonts w:ascii="Symbol" w:hAnsi="Symbol" w:hint="default"/>
      </w:rPr>
    </w:lvl>
    <w:lvl w:ilvl="4" w:tplc="7BFA985C">
      <w:start w:val="1"/>
      <w:numFmt w:val="bullet"/>
      <w:lvlText w:val="o"/>
      <w:lvlJc w:val="left"/>
      <w:pPr>
        <w:ind w:left="3600" w:hanging="360"/>
      </w:pPr>
      <w:rPr>
        <w:rFonts w:ascii="Courier New" w:hAnsi="Courier New" w:hint="default"/>
      </w:rPr>
    </w:lvl>
    <w:lvl w:ilvl="5" w:tplc="7A569FE6">
      <w:start w:val="1"/>
      <w:numFmt w:val="bullet"/>
      <w:lvlText w:val=""/>
      <w:lvlJc w:val="left"/>
      <w:pPr>
        <w:ind w:left="4320" w:hanging="360"/>
      </w:pPr>
      <w:rPr>
        <w:rFonts w:ascii="Wingdings" w:hAnsi="Wingdings" w:hint="default"/>
      </w:rPr>
    </w:lvl>
    <w:lvl w:ilvl="6" w:tplc="A7C837E8">
      <w:start w:val="1"/>
      <w:numFmt w:val="bullet"/>
      <w:lvlText w:val=""/>
      <w:lvlJc w:val="left"/>
      <w:pPr>
        <w:ind w:left="5040" w:hanging="360"/>
      </w:pPr>
      <w:rPr>
        <w:rFonts w:ascii="Symbol" w:hAnsi="Symbol" w:hint="default"/>
      </w:rPr>
    </w:lvl>
    <w:lvl w:ilvl="7" w:tplc="25188850">
      <w:start w:val="1"/>
      <w:numFmt w:val="bullet"/>
      <w:lvlText w:val="o"/>
      <w:lvlJc w:val="left"/>
      <w:pPr>
        <w:ind w:left="5760" w:hanging="360"/>
      </w:pPr>
      <w:rPr>
        <w:rFonts w:ascii="Courier New" w:hAnsi="Courier New" w:hint="default"/>
      </w:rPr>
    </w:lvl>
    <w:lvl w:ilvl="8" w:tplc="DABAD18E">
      <w:start w:val="1"/>
      <w:numFmt w:val="bullet"/>
      <w:lvlText w:val=""/>
      <w:lvlJc w:val="left"/>
      <w:pPr>
        <w:ind w:left="6480" w:hanging="360"/>
      </w:pPr>
      <w:rPr>
        <w:rFonts w:ascii="Wingdings" w:hAnsi="Wingdings" w:hint="default"/>
      </w:rPr>
    </w:lvl>
  </w:abstractNum>
  <w:abstractNum w:abstractNumId="6" w15:restartNumberingAfterBreak="0">
    <w:nsid w:val="6412612C"/>
    <w:multiLevelType w:val="hybridMultilevel"/>
    <w:tmpl w:val="FFFFFFFF"/>
    <w:lvl w:ilvl="0" w:tplc="12E061C0">
      <w:start w:val="1"/>
      <w:numFmt w:val="bullet"/>
      <w:lvlText w:val="o"/>
      <w:lvlJc w:val="left"/>
      <w:pPr>
        <w:ind w:left="720" w:hanging="360"/>
      </w:pPr>
      <w:rPr>
        <w:rFonts w:ascii="&quot;Courier New&quot;" w:hAnsi="&quot;Courier New&quot;" w:hint="default"/>
      </w:rPr>
    </w:lvl>
    <w:lvl w:ilvl="1" w:tplc="840E9392">
      <w:start w:val="1"/>
      <w:numFmt w:val="bullet"/>
      <w:lvlText w:val="o"/>
      <w:lvlJc w:val="left"/>
      <w:pPr>
        <w:ind w:left="1440" w:hanging="360"/>
      </w:pPr>
      <w:rPr>
        <w:rFonts w:ascii="Courier New" w:hAnsi="Courier New" w:hint="default"/>
      </w:rPr>
    </w:lvl>
    <w:lvl w:ilvl="2" w:tplc="C128C1F8">
      <w:start w:val="1"/>
      <w:numFmt w:val="bullet"/>
      <w:lvlText w:val=""/>
      <w:lvlJc w:val="left"/>
      <w:pPr>
        <w:ind w:left="2160" w:hanging="360"/>
      </w:pPr>
      <w:rPr>
        <w:rFonts w:ascii="Wingdings" w:hAnsi="Wingdings" w:hint="default"/>
      </w:rPr>
    </w:lvl>
    <w:lvl w:ilvl="3" w:tplc="034A817E">
      <w:start w:val="1"/>
      <w:numFmt w:val="bullet"/>
      <w:lvlText w:val=""/>
      <w:lvlJc w:val="left"/>
      <w:pPr>
        <w:ind w:left="2880" w:hanging="360"/>
      </w:pPr>
      <w:rPr>
        <w:rFonts w:ascii="Symbol" w:hAnsi="Symbol" w:hint="default"/>
      </w:rPr>
    </w:lvl>
    <w:lvl w:ilvl="4" w:tplc="3EF0D8AE">
      <w:start w:val="1"/>
      <w:numFmt w:val="bullet"/>
      <w:lvlText w:val="o"/>
      <w:lvlJc w:val="left"/>
      <w:pPr>
        <w:ind w:left="3600" w:hanging="360"/>
      </w:pPr>
      <w:rPr>
        <w:rFonts w:ascii="Courier New" w:hAnsi="Courier New" w:hint="default"/>
      </w:rPr>
    </w:lvl>
    <w:lvl w:ilvl="5" w:tplc="1812B778">
      <w:start w:val="1"/>
      <w:numFmt w:val="bullet"/>
      <w:lvlText w:val=""/>
      <w:lvlJc w:val="left"/>
      <w:pPr>
        <w:ind w:left="4320" w:hanging="360"/>
      </w:pPr>
      <w:rPr>
        <w:rFonts w:ascii="Wingdings" w:hAnsi="Wingdings" w:hint="default"/>
      </w:rPr>
    </w:lvl>
    <w:lvl w:ilvl="6" w:tplc="E9C6174C">
      <w:start w:val="1"/>
      <w:numFmt w:val="bullet"/>
      <w:lvlText w:val=""/>
      <w:lvlJc w:val="left"/>
      <w:pPr>
        <w:ind w:left="5040" w:hanging="360"/>
      </w:pPr>
      <w:rPr>
        <w:rFonts w:ascii="Symbol" w:hAnsi="Symbol" w:hint="default"/>
      </w:rPr>
    </w:lvl>
    <w:lvl w:ilvl="7" w:tplc="01128746">
      <w:start w:val="1"/>
      <w:numFmt w:val="bullet"/>
      <w:lvlText w:val="o"/>
      <w:lvlJc w:val="left"/>
      <w:pPr>
        <w:ind w:left="5760" w:hanging="360"/>
      </w:pPr>
      <w:rPr>
        <w:rFonts w:ascii="Courier New" w:hAnsi="Courier New" w:hint="default"/>
      </w:rPr>
    </w:lvl>
    <w:lvl w:ilvl="8" w:tplc="00A40FCC">
      <w:start w:val="1"/>
      <w:numFmt w:val="bullet"/>
      <w:lvlText w:val=""/>
      <w:lvlJc w:val="left"/>
      <w:pPr>
        <w:ind w:left="6480" w:hanging="360"/>
      </w:pPr>
      <w:rPr>
        <w:rFonts w:ascii="Wingdings" w:hAnsi="Wingdings" w:hint="default"/>
      </w:rPr>
    </w:lvl>
  </w:abstractNum>
  <w:abstractNum w:abstractNumId="7"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91852E1"/>
    <w:multiLevelType w:val="hybridMultilevel"/>
    <w:tmpl w:val="F9CCB1C2"/>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0241675">
    <w:abstractNumId w:val="7"/>
  </w:num>
  <w:num w:numId="2" w16cid:durableId="795563090">
    <w:abstractNumId w:val="8"/>
  </w:num>
  <w:num w:numId="3" w16cid:durableId="1840652948">
    <w:abstractNumId w:val="2"/>
  </w:num>
  <w:num w:numId="4" w16cid:durableId="1893301164">
    <w:abstractNumId w:val="0"/>
  </w:num>
  <w:num w:numId="5" w16cid:durableId="1994286162">
    <w:abstractNumId w:val="1"/>
  </w:num>
  <w:num w:numId="6" w16cid:durableId="1737556664">
    <w:abstractNumId w:val="3"/>
  </w:num>
  <w:num w:numId="7" w16cid:durableId="1928229798">
    <w:abstractNumId w:val="5"/>
  </w:num>
  <w:num w:numId="8" w16cid:durableId="1988777210">
    <w:abstractNumId w:val="6"/>
  </w:num>
  <w:num w:numId="9" w16cid:durableId="9985331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E30"/>
    <w:rsid w:val="00002102"/>
    <w:rsid w:val="0000222A"/>
    <w:rsid w:val="00003239"/>
    <w:rsid w:val="000040B1"/>
    <w:rsid w:val="00006356"/>
    <w:rsid w:val="00015FDF"/>
    <w:rsid w:val="00020BCD"/>
    <w:rsid w:val="00022536"/>
    <w:rsid w:val="00022F25"/>
    <w:rsid w:val="000243E6"/>
    <w:rsid w:val="000268A8"/>
    <w:rsid w:val="00026E1C"/>
    <w:rsid w:val="00034F39"/>
    <w:rsid w:val="00036306"/>
    <w:rsid w:val="0003636F"/>
    <w:rsid w:val="00036B02"/>
    <w:rsid w:val="000425D9"/>
    <w:rsid w:val="0004567B"/>
    <w:rsid w:val="00045915"/>
    <w:rsid w:val="0004654D"/>
    <w:rsid w:val="00050BE0"/>
    <w:rsid w:val="0005317F"/>
    <w:rsid w:val="000555A6"/>
    <w:rsid w:val="00055F52"/>
    <w:rsid w:val="00057B89"/>
    <w:rsid w:val="00061F1D"/>
    <w:rsid w:val="00064584"/>
    <w:rsid w:val="0006600E"/>
    <w:rsid w:val="000666FC"/>
    <w:rsid w:val="00071317"/>
    <w:rsid w:val="0007131E"/>
    <w:rsid w:val="00071E0B"/>
    <w:rsid w:val="0007334E"/>
    <w:rsid w:val="000765D2"/>
    <w:rsid w:val="00081C6E"/>
    <w:rsid w:val="00081ED1"/>
    <w:rsid w:val="000848A0"/>
    <w:rsid w:val="0008793A"/>
    <w:rsid w:val="00091322"/>
    <w:rsid w:val="000924BB"/>
    <w:rsid w:val="00093386"/>
    <w:rsid w:val="000935B1"/>
    <w:rsid w:val="00093D8C"/>
    <w:rsid w:val="00094A95"/>
    <w:rsid w:val="0009613E"/>
    <w:rsid w:val="00097519"/>
    <w:rsid w:val="000A5607"/>
    <w:rsid w:val="000A690B"/>
    <w:rsid w:val="000B0E33"/>
    <w:rsid w:val="000B2356"/>
    <w:rsid w:val="000B3401"/>
    <w:rsid w:val="000B5D0A"/>
    <w:rsid w:val="000B75F8"/>
    <w:rsid w:val="000B7E02"/>
    <w:rsid w:val="000C343E"/>
    <w:rsid w:val="000D2B6E"/>
    <w:rsid w:val="000D52A1"/>
    <w:rsid w:val="000D66F8"/>
    <w:rsid w:val="000E1337"/>
    <w:rsid w:val="000E2F25"/>
    <w:rsid w:val="000E4B3B"/>
    <w:rsid w:val="000E5071"/>
    <w:rsid w:val="000E5511"/>
    <w:rsid w:val="000E78B0"/>
    <w:rsid w:val="000F0441"/>
    <w:rsid w:val="000F3BBE"/>
    <w:rsid w:val="000F3BD6"/>
    <w:rsid w:val="000F68C8"/>
    <w:rsid w:val="0010388E"/>
    <w:rsid w:val="00104395"/>
    <w:rsid w:val="00104CCA"/>
    <w:rsid w:val="00107623"/>
    <w:rsid w:val="00107AFC"/>
    <w:rsid w:val="001107D6"/>
    <w:rsid w:val="001112FF"/>
    <w:rsid w:val="00114E35"/>
    <w:rsid w:val="001160F3"/>
    <w:rsid w:val="00116102"/>
    <w:rsid w:val="001309B8"/>
    <w:rsid w:val="00132290"/>
    <w:rsid w:val="00135A21"/>
    <w:rsid w:val="00142777"/>
    <w:rsid w:val="0014777A"/>
    <w:rsid w:val="001503F4"/>
    <w:rsid w:val="00151EB2"/>
    <w:rsid w:val="001546A4"/>
    <w:rsid w:val="00155906"/>
    <w:rsid w:val="001568E4"/>
    <w:rsid w:val="0016605A"/>
    <w:rsid w:val="00166A89"/>
    <w:rsid w:val="001714A6"/>
    <w:rsid w:val="00172019"/>
    <w:rsid w:val="001720E1"/>
    <w:rsid w:val="00175AC7"/>
    <w:rsid w:val="0017673C"/>
    <w:rsid w:val="001769A1"/>
    <w:rsid w:val="001776F4"/>
    <w:rsid w:val="00180B94"/>
    <w:rsid w:val="00183859"/>
    <w:rsid w:val="001878B6"/>
    <w:rsid w:val="0019270C"/>
    <w:rsid w:val="00193977"/>
    <w:rsid w:val="0019508D"/>
    <w:rsid w:val="001A57B0"/>
    <w:rsid w:val="001A5F45"/>
    <w:rsid w:val="001A68D9"/>
    <w:rsid w:val="001B1D07"/>
    <w:rsid w:val="001B2829"/>
    <w:rsid w:val="001B4393"/>
    <w:rsid w:val="001B7872"/>
    <w:rsid w:val="001C3A39"/>
    <w:rsid w:val="001C6FDA"/>
    <w:rsid w:val="001C70F2"/>
    <w:rsid w:val="001D2753"/>
    <w:rsid w:val="001D4577"/>
    <w:rsid w:val="001D665A"/>
    <w:rsid w:val="001D6A6F"/>
    <w:rsid w:val="001E42D4"/>
    <w:rsid w:val="001E4A54"/>
    <w:rsid w:val="001E6725"/>
    <w:rsid w:val="001E7321"/>
    <w:rsid w:val="001F19BF"/>
    <w:rsid w:val="001F35A6"/>
    <w:rsid w:val="001F779F"/>
    <w:rsid w:val="0020167E"/>
    <w:rsid w:val="00203B68"/>
    <w:rsid w:val="0020556E"/>
    <w:rsid w:val="00207D88"/>
    <w:rsid w:val="00207E9A"/>
    <w:rsid w:val="00212415"/>
    <w:rsid w:val="00213377"/>
    <w:rsid w:val="0021350E"/>
    <w:rsid w:val="00214002"/>
    <w:rsid w:val="002144CD"/>
    <w:rsid w:val="00215F68"/>
    <w:rsid w:val="00220114"/>
    <w:rsid w:val="00220213"/>
    <w:rsid w:val="00220A73"/>
    <w:rsid w:val="00223C23"/>
    <w:rsid w:val="00224178"/>
    <w:rsid w:val="00226FA7"/>
    <w:rsid w:val="00231EC1"/>
    <w:rsid w:val="00234237"/>
    <w:rsid w:val="002346D0"/>
    <w:rsid w:val="002350E1"/>
    <w:rsid w:val="00235209"/>
    <w:rsid w:val="00235C79"/>
    <w:rsid w:val="00240070"/>
    <w:rsid w:val="00241ADC"/>
    <w:rsid w:val="002450B8"/>
    <w:rsid w:val="00245176"/>
    <w:rsid w:val="00245309"/>
    <w:rsid w:val="00246A4F"/>
    <w:rsid w:val="00251A27"/>
    <w:rsid w:val="00252CCC"/>
    <w:rsid w:val="0026004A"/>
    <w:rsid w:val="00260DF6"/>
    <w:rsid w:val="0026255C"/>
    <w:rsid w:val="00263D21"/>
    <w:rsid w:val="002655DC"/>
    <w:rsid w:val="00272C0E"/>
    <w:rsid w:val="0027654C"/>
    <w:rsid w:val="002766CB"/>
    <w:rsid w:val="0027682B"/>
    <w:rsid w:val="002770D4"/>
    <w:rsid w:val="00282906"/>
    <w:rsid w:val="00285336"/>
    <w:rsid w:val="00287209"/>
    <w:rsid w:val="002928A4"/>
    <w:rsid w:val="002A1527"/>
    <w:rsid w:val="002A1988"/>
    <w:rsid w:val="002A7251"/>
    <w:rsid w:val="002B6253"/>
    <w:rsid w:val="002C16F3"/>
    <w:rsid w:val="002C17D3"/>
    <w:rsid w:val="002C1805"/>
    <w:rsid w:val="002C1C0A"/>
    <w:rsid w:val="002C5809"/>
    <w:rsid w:val="002C6249"/>
    <w:rsid w:val="002D2441"/>
    <w:rsid w:val="002D4A54"/>
    <w:rsid w:val="002D55FA"/>
    <w:rsid w:val="002D75E6"/>
    <w:rsid w:val="002E15AC"/>
    <w:rsid w:val="002E1C46"/>
    <w:rsid w:val="002E1C61"/>
    <w:rsid w:val="002E669D"/>
    <w:rsid w:val="002E7946"/>
    <w:rsid w:val="002E7F55"/>
    <w:rsid w:val="002F1C62"/>
    <w:rsid w:val="002F3FB5"/>
    <w:rsid w:val="002F7692"/>
    <w:rsid w:val="003005B5"/>
    <w:rsid w:val="00301649"/>
    <w:rsid w:val="003044C8"/>
    <w:rsid w:val="00305ADC"/>
    <w:rsid w:val="00306AC5"/>
    <w:rsid w:val="0031227A"/>
    <w:rsid w:val="00312ACA"/>
    <w:rsid w:val="00315DD3"/>
    <w:rsid w:val="00316EB9"/>
    <w:rsid w:val="00326E91"/>
    <w:rsid w:val="00330828"/>
    <w:rsid w:val="003336A5"/>
    <w:rsid w:val="00334353"/>
    <w:rsid w:val="00336A67"/>
    <w:rsid w:val="00337819"/>
    <w:rsid w:val="00342D9C"/>
    <w:rsid w:val="003468B5"/>
    <w:rsid w:val="00347B60"/>
    <w:rsid w:val="003533EB"/>
    <w:rsid w:val="0035502E"/>
    <w:rsid w:val="0035581A"/>
    <w:rsid w:val="00356269"/>
    <w:rsid w:val="003611AE"/>
    <w:rsid w:val="00361558"/>
    <w:rsid w:val="00363465"/>
    <w:rsid w:val="00363890"/>
    <w:rsid w:val="0036459D"/>
    <w:rsid w:val="00365622"/>
    <w:rsid w:val="00367115"/>
    <w:rsid w:val="003679A6"/>
    <w:rsid w:val="003713DB"/>
    <w:rsid w:val="00371775"/>
    <w:rsid w:val="0037184A"/>
    <w:rsid w:val="0037316A"/>
    <w:rsid w:val="00377925"/>
    <w:rsid w:val="00383652"/>
    <w:rsid w:val="0038482B"/>
    <w:rsid w:val="00394D2C"/>
    <w:rsid w:val="00395101"/>
    <w:rsid w:val="00395DF7"/>
    <w:rsid w:val="0039755A"/>
    <w:rsid w:val="003A0550"/>
    <w:rsid w:val="003A1568"/>
    <w:rsid w:val="003A218C"/>
    <w:rsid w:val="003A2667"/>
    <w:rsid w:val="003A2ABD"/>
    <w:rsid w:val="003A2C1B"/>
    <w:rsid w:val="003B337A"/>
    <w:rsid w:val="003B3A27"/>
    <w:rsid w:val="003B3C2B"/>
    <w:rsid w:val="003B6522"/>
    <w:rsid w:val="003B6FAA"/>
    <w:rsid w:val="003C6BF8"/>
    <w:rsid w:val="003D50F0"/>
    <w:rsid w:val="003E2972"/>
    <w:rsid w:val="003E3296"/>
    <w:rsid w:val="003E40B2"/>
    <w:rsid w:val="003E494B"/>
    <w:rsid w:val="003E6B09"/>
    <w:rsid w:val="003F0B8D"/>
    <w:rsid w:val="003F1FB1"/>
    <w:rsid w:val="003F264D"/>
    <w:rsid w:val="003F269E"/>
    <w:rsid w:val="003F2FE8"/>
    <w:rsid w:val="003F3177"/>
    <w:rsid w:val="003F3C42"/>
    <w:rsid w:val="003F443F"/>
    <w:rsid w:val="003F71D6"/>
    <w:rsid w:val="0040008F"/>
    <w:rsid w:val="00403F9F"/>
    <w:rsid w:val="00404C0F"/>
    <w:rsid w:val="00407EBD"/>
    <w:rsid w:val="00407EC2"/>
    <w:rsid w:val="00410A75"/>
    <w:rsid w:val="004143A7"/>
    <w:rsid w:val="00416035"/>
    <w:rsid w:val="00421CAA"/>
    <w:rsid w:val="0042292D"/>
    <w:rsid w:val="00425416"/>
    <w:rsid w:val="00426F60"/>
    <w:rsid w:val="0043164E"/>
    <w:rsid w:val="00432C75"/>
    <w:rsid w:val="00433606"/>
    <w:rsid w:val="004341FE"/>
    <w:rsid w:val="00434BB0"/>
    <w:rsid w:val="00434D85"/>
    <w:rsid w:val="004351DD"/>
    <w:rsid w:val="00436021"/>
    <w:rsid w:val="0043626F"/>
    <w:rsid w:val="00440AF6"/>
    <w:rsid w:val="004429ED"/>
    <w:rsid w:val="004430CC"/>
    <w:rsid w:val="0044367F"/>
    <w:rsid w:val="00445CA0"/>
    <w:rsid w:val="00452A07"/>
    <w:rsid w:val="00452F78"/>
    <w:rsid w:val="0045330F"/>
    <w:rsid w:val="0045502A"/>
    <w:rsid w:val="00455372"/>
    <w:rsid w:val="0045585F"/>
    <w:rsid w:val="0047167A"/>
    <w:rsid w:val="004730A2"/>
    <w:rsid w:val="00473A27"/>
    <w:rsid w:val="00475838"/>
    <w:rsid w:val="004776B4"/>
    <w:rsid w:val="004803EE"/>
    <w:rsid w:val="00482C60"/>
    <w:rsid w:val="004857A7"/>
    <w:rsid w:val="004865A5"/>
    <w:rsid w:val="00492018"/>
    <w:rsid w:val="00492318"/>
    <w:rsid w:val="004942A8"/>
    <w:rsid w:val="00494E06"/>
    <w:rsid w:val="00495FBB"/>
    <w:rsid w:val="00496D01"/>
    <w:rsid w:val="0049713C"/>
    <w:rsid w:val="004978E4"/>
    <w:rsid w:val="004A2619"/>
    <w:rsid w:val="004A57DA"/>
    <w:rsid w:val="004A7B8C"/>
    <w:rsid w:val="004B1355"/>
    <w:rsid w:val="004B5D0A"/>
    <w:rsid w:val="004B663B"/>
    <w:rsid w:val="004B6CEC"/>
    <w:rsid w:val="004C0168"/>
    <w:rsid w:val="004C2176"/>
    <w:rsid w:val="004C384D"/>
    <w:rsid w:val="004C41C8"/>
    <w:rsid w:val="004C4494"/>
    <w:rsid w:val="004C6126"/>
    <w:rsid w:val="004C7FBD"/>
    <w:rsid w:val="004D0E2E"/>
    <w:rsid w:val="004D5205"/>
    <w:rsid w:val="004D545A"/>
    <w:rsid w:val="004D70AC"/>
    <w:rsid w:val="004D77D1"/>
    <w:rsid w:val="004E140F"/>
    <w:rsid w:val="004E1547"/>
    <w:rsid w:val="004E1618"/>
    <w:rsid w:val="004E4169"/>
    <w:rsid w:val="004E43C9"/>
    <w:rsid w:val="004E74BA"/>
    <w:rsid w:val="004F38C3"/>
    <w:rsid w:val="004F3B62"/>
    <w:rsid w:val="004F7CC2"/>
    <w:rsid w:val="0050094C"/>
    <w:rsid w:val="00500BA8"/>
    <w:rsid w:val="00502186"/>
    <w:rsid w:val="00502E76"/>
    <w:rsid w:val="00503EA8"/>
    <w:rsid w:val="0050708D"/>
    <w:rsid w:val="00512C53"/>
    <w:rsid w:val="00513D9F"/>
    <w:rsid w:val="00514E00"/>
    <w:rsid w:val="00514F82"/>
    <w:rsid w:val="00516438"/>
    <w:rsid w:val="005170DC"/>
    <w:rsid w:val="00521F61"/>
    <w:rsid w:val="00522063"/>
    <w:rsid w:val="00522F64"/>
    <w:rsid w:val="00526621"/>
    <w:rsid w:val="00526C16"/>
    <w:rsid w:val="0053084A"/>
    <w:rsid w:val="00536E47"/>
    <w:rsid w:val="00542231"/>
    <w:rsid w:val="00542941"/>
    <w:rsid w:val="00544B90"/>
    <w:rsid w:val="00551D72"/>
    <w:rsid w:val="00552266"/>
    <w:rsid w:val="00553381"/>
    <w:rsid w:val="00554AD8"/>
    <w:rsid w:val="00556B1C"/>
    <w:rsid w:val="005574D1"/>
    <w:rsid w:val="00557DFF"/>
    <w:rsid w:val="0056003A"/>
    <w:rsid w:val="005623EF"/>
    <w:rsid w:val="00562741"/>
    <w:rsid w:val="00562E9D"/>
    <w:rsid w:val="00565D47"/>
    <w:rsid w:val="00571279"/>
    <w:rsid w:val="00573559"/>
    <w:rsid w:val="00573BC0"/>
    <w:rsid w:val="005745FF"/>
    <w:rsid w:val="005750ED"/>
    <w:rsid w:val="00583903"/>
    <w:rsid w:val="00586597"/>
    <w:rsid w:val="00590656"/>
    <w:rsid w:val="00590B64"/>
    <w:rsid w:val="00591234"/>
    <w:rsid w:val="00592B85"/>
    <w:rsid w:val="005939B9"/>
    <w:rsid w:val="00593AD3"/>
    <w:rsid w:val="005A03FA"/>
    <w:rsid w:val="005A0767"/>
    <w:rsid w:val="005A2746"/>
    <w:rsid w:val="005A46DA"/>
    <w:rsid w:val="005B22A0"/>
    <w:rsid w:val="005B2382"/>
    <w:rsid w:val="005B3552"/>
    <w:rsid w:val="005B3669"/>
    <w:rsid w:val="005B3932"/>
    <w:rsid w:val="005B608C"/>
    <w:rsid w:val="005B64AE"/>
    <w:rsid w:val="005C0D77"/>
    <w:rsid w:val="005C51D0"/>
    <w:rsid w:val="005C5D89"/>
    <w:rsid w:val="005C7719"/>
    <w:rsid w:val="005D0395"/>
    <w:rsid w:val="005D0C9F"/>
    <w:rsid w:val="005D27D3"/>
    <w:rsid w:val="005D33A9"/>
    <w:rsid w:val="005D4EF1"/>
    <w:rsid w:val="005D5D44"/>
    <w:rsid w:val="005E024A"/>
    <w:rsid w:val="005E0B8D"/>
    <w:rsid w:val="005E0F12"/>
    <w:rsid w:val="005E0F1C"/>
    <w:rsid w:val="005E1452"/>
    <w:rsid w:val="005E4DE5"/>
    <w:rsid w:val="005E51B9"/>
    <w:rsid w:val="005E5439"/>
    <w:rsid w:val="005F009F"/>
    <w:rsid w:val="005F4614"/>
    <w:rsid w:val="005F485B"/>
    <w:rsid w:val="005F5766"/>
    <w:rsid w:val="0060170C"/>
    <w:rsid w:val="006041B8"/>
    <w:rsid w:val="00604914"/>
    <w:rsid w:val="00604A67"/>
    <w:rsid w:val="00610027"/>
    <w:rsid w:val="00610DF8"/>
    <w:rsid w:val="00612661"/>
    <w:rsid w:val="006149AA"/>
    <w:rsid w:val="0061762E"/>
    <w:rsid w:val="00623579"/>
    <w:rsid w:val="00623619"/>
    <w:rsid w:val="00624A32"/>
    <w:rsid w:val="00625317"/>
    <w:rsid w:val="00625FE2"/>
    <w:rsid w:val="00626CFD"/>
    <w:rsid w:val="006310E6"/>
    <w:rsid w:val="00636512"/>
    <w:rsid w:val="00636812"/>
    <w:rsid w:val="0063697B"/>
    <w:rsid w:val="00640BD0"/>
    <w:rsid w:val="006410BB"/>
    <w:rsid w:val="006410F8"/>
    <w:rsid w:val="00641D2E"/>
    <w:rsid w:val="006460FC"/>
    <w:rsid w:val="006471D6"/>
    <w:rsid w:val="00647C3E"/>
    <w:rsid w:val="006518F0"/>
    <w:rsid w:val="006534D2"/>
    <w:rsid w:val="00653887"/>
    <w:rsid w:val="00655141"/>
    <w:rsid w:val="00655C75"/>
    <w:rsid w:val="00656DF6"/>
    <w:rsid w:val="00657847"/>
    <w:rsid w:val="00662271"/>
    <w:rsid w:val="00662ADC"/>
    <w:rsid w:val="00662B00"/>
    <w:rsid w:val="00665C38"/>
    <w:rsid w:val="006664F5"/>
    <w:rsid w:val="00667480"/>
    <w:rsid w:val="006700BB"/>
    <w:rsid w:val="006713CF"/>
    <w:rsid w:val="006714A4"/>
    <w:rsid w:val="00674DDB"/>
    <w:rsid w:val="006753B6"/>
    <w:rsid w:val="00675C6B"/>
    <w:rsid w:val="006830FD"/>
    <w:rsid w:val="00685648"/>
    <w:rsid w:val="0068773F"/>
    <w:rsid w:val="00691C6F"/>
    <w:rsid w:val="006954B1"/>
    <w:rsid w:val="00696F44"/>
    <w:rsid w:val="006A1BEB"/>
    <w:rsid w:val="006A46AA"/>
    <w:rsid w:val="006B0137"/>
    <w:rsid w:val="006B52C9"/>
    <w:rsid w:val="006B5B37"/>
    <w:rsid w:val="006C0478"/>
    <w:rsid w:val="006C0D3C"/>
    <w:rsid w:val="006C3535"/>
    <w:rsid w:val="006C391C"/>
    <w:rsid w:val="006C7848"/>
    <w:rsid w:val="006D006E"/>
    <w:rsid w:val="006D1538"/>
    <w:rsid w:val="006D27D2"/>
    <w:rsid w:val="006D29DD"/>
    <w:rsid w:val="006D2B8A"/>
    <w:rsid w:val="006D5405"/>
    <w:rsid w:val="006D69FF"/>
    <w:rsid w:val="006D6CFB"/>
    <w:rsid w:val="006E00C3"/>
    <w:rsid w:val="006E01B5"/>
    <w:rsid w:val="006E09A1"/>
    <w:rsid w:val="006E0CD6"/>
    <w:rsid w:val="006E1727"/>
    <w:rsid w:val="006E610F"/>
    <w:rsid w:val="006E6B9D"/>
    <w:rsid w:val="006E7201"/>
    <w:rsid w:val="006F12E6"/>
    <w:rsid w:val="006F4067"/>
    <w:rsid w:val="006F510A"/>
    <w:rsid w:val="006F5727"/>
    <w:rsid w:val="006F5F9C"/>
    <w:rsid w:val="006F68F0"/>
    <w:rsid w:val="00700E48"/>
    <w:rsid w:val="00701C0E"/>
    <w:rsid w:val="00703A78"/>
    <w:rsid w:val="00704241"/>
    <w:rsid w:val="00704A46"/>
    <w:rsid w:val="00706FF2"/>
    <w:rsid w:val="0071044D"/>
    <w:rsid w:val="00711A9D"/>
    <w:rsid w:val="0071502B"/>
    <w:rsid w:val="00715AE7"/>
    <w:rsid w:val="0072275A"/>
    <w:rsid w:val="00722DB7"/>
    <w:rsid w:val="007233CB"/>
    <w:rsid w:val="007316B3"/>
    <w:rsid w:val="00732479"/>
    <w:rsid w:val="0073569E"/>
    <w:rsid w:val="00735E5D"/>
    <w:rsid w:val="0073602D"/>
    <w:rsid w:val="007365BE"/>
    <w:rsid w:val="0073707D"/>
    <w:rsid w:val="007378F3"/>
    <w:rsid w:val="00741886"/>
    <w:rsid w:val="007443F7"/>
    <w:rsid w:val="0075183D"/>
    <w:rsid w:val="007521B1"/>
    <w:rsid w:val="007543F0"/>
    <w:rsid w:val="00754598"/>
    <w:rsid w:val="0075486A"/>
    <w:rsid w:val="007549DB"/>
    <w:rsid w:val="00754A7C"/>
    <w:rsid w:val="00757B17"/>
    <w:rsid w:val="0076144E"/>
    <w:rsid w:val="00762004"/>
    <w:rsid w:val="007649D3"/>
    <w:rsid w:val="00764B59"/>
    <w:rsid w:val="00766B01"/>
    <w:rsid w:val="007712A2"/>
    <w:rsid w:val="00777260"/>
    <w:rsid w:val="00780C16"/>
    <w:rsid w:val="00784B40"/>
    <w:rsid w:val="00785EAF"/>
    <w:rsid w:val="00787648"/>
    <w:rsid w:val="00792B0A"/>
    <w:rsid w:val="0079303B"/>
    <w:rsid w:val="007A1EA1"/>
    <w:rsid w:val="007A1F8D"/>
    <w:rsid w:val="007A2220"/>
    <w:rsid w:val="007A2AE8"/>
    <w:rsid w:val="007A2F4C"/>
    <w:rsid w:val="007A30CA"/>
    <w:rsid w:val="007A5570"/>
    <w:rsid w:val="007B133F"/>
    <w:rsid w:val="007B79F8"/>
    <w:rsid w:val="007C24F6"/>
    <w:rsid w:val="007C54AB"/>
    <w:rsid w:val="007C5EC1"/>
    <w:rsid w:val="007C6E88"/>
    <w:rsid w:val="007D5DD3"/>
    <w:rsid w:val="007E130E"/>
    <w:rsid w:val="007E1F9A"/>
    <w:rsid w:val="007E27D9"/>
    <w:rsid w:val="007E488B"/>
    <w:rsid w:val="007E4A7C"/>
    <w:rsid w:val="007F1073"/>
    <w:rsid w:val="007F1C0A"/>
    <w:rsid w:val="007F28C7"/>
    <w:rsid w:val="007F3674"/>
    <w:rsid w:val="00802B6F"/>
    <w:rsid w:val="00803003"/>
    <w:rsid w:val="00804419"/>
    <w:rsid w:val="00804CBB"/>
    <w:rsid w:val="00805A77"/>
    <w:rsid w:val="008073F0"/>
    <w:rsid w:val="008076FC"/>
    <w:rsid w:val="0082281F"/>
    <w:rsid w:val="00831125"/>
    <w:rsid w:val="00832DC4"/>
    <w:rsid w:val="00834CD9"/>
    <w:rsid w:val="008355E2"/>
    <w:rsid w:val="00835CB8"/>
    <w:rsid w:val="00837B84"/>
    <w:rsid w:val="008404F9"/>
    <w:rsid w:val="00843479"/>
    <w:rsid w:val="00847507"/>
    <w:rsid w:val="00847A09"/>
    <w:rsid w:val="00847F40"/>
    <w:rsid w:val="00851BDA"/>
    <w:rsid w:val="00856716"/>
    <w:rsid w:val="0086076B"/>
    <w:rsid w:val="0086208A"/>
    <w:rsid w:val="0086217F"/>
    <w:rsid w:val="0086276A"/>
    <w:rsid w:val="008645F0"/>
    <w:rsid w:val="00866FF4"/>
    <w:rsid w:val="00871519"/>
    <w:rsid w:val="0087336E"/>
    <w:rsid w:val="008733E7"/>
    <w:rsid w:val="0088254F"/>
    <w:rsid w:val="00883730"/>
    <w:rsid w:val="008857B5"/>
    <w:rsid w:val="00887D91"/>
    <w:rsid w:val="008923B2"/>
    <w:rsid w:val="008A2916"/>
    <w:rsid w:val="008A32C7"/>
    <w:rsid w:val="008A4481"/>
    <w:rsid w:val="008A5A9C"/>
    <w:rsid w:val="008A6644"/>
    <w:rsid w:val="008A751D"/>
    <w:rsid w:val="008B11EF"/>
    <w:rsid w:val="008B2271"/>
    <w:rsid w:val="008B4970"/>
    <w:rsid w:val="008C00EA"/>
    <w:rsid w:val="008C287B"/>
    <w:rsid w:val="008C53CF"/>
    <w:rsid w:val="008C71D2"/>
    <w:rsid w:val="008D1E26"/>
    <w:rsid w:val="008D2026"/>
    <w:rsid w:val="008D23AE"/>
    <w:rsid w:val="008D28E9"/>
    <w:rsid w:val="008D2D46"/>
    <w:rsid w:val="008D43B6"/>
    <w:rsid w:val="008D5018"/>
    <w:rsid w:val="008E0523"/>
    <w:rsid w:val="008E24AD"/>
    <w:rsid w:val="008E2565"/>
    <w:rsid w:val="008EA697"/>
    <w:rsid w:val="008F1DB0"/>
    <w:rsid w:val="008F5275"/>
    <w:rsid w:val="008F52C0"/>
    <w:rsid w:val="0090075E"/>
    <w:rsid w:val="00901867"/>
    <w:rsid w:val="009030B5"/>
    <w:rsid w:val="009106BC"/>
    <w:rsid w:val="00912798"/>
    <w:rsid w:val="00916603"/>
    <w:rsid w:val="00916642"/>
    <w:rsid w:val="00916AA0"/>
    <w:rsid w:val="00916C1D"/>
    <w:rsid w:val="00917089"/>
    <w:rsid w:val="009176A9"/>
    <w:rsid w:val="009229F1"/>
    <w:rsid w:val="009253A0"/>
    <w:rsid w:val="00927FE2"/>
    <w:rsid w:val="00930B68"/>
    <w:rsid w:val="0093203C"/>
    <w:rsid w:val="00933FD5"/>
    <w:rsid w:val="0093583F"/>
    <w:rsid w:val="00936D2E"/>
    <w:rsid w:val="009370BA"/>
    <w:rsid w:val="00943F12"/>
    <w:rsid w:val="00946361"/>
    <w:rsid w:val="00946DE5"/>
    <w:rsid w:val="00953003"/>
    <w:rsid w:val="00954BCB"/>
    <w:rsid w:val="00956595"/>
    <w:rsid w:val="009602AB"/>
    <w:rsid w:val="0097036E"/>
    <w:rsid w:val="0097197A"/>
    <w:rsid w:val="00972E37"/>
    <w:rsid w:val="00973D17"/>
    <w:rsid w:val="00975CE6"/>
    <w:rsid w:val="00975CFE"/>
    <w:rsid w:val="009769C8"/>
    <w:rsid w:val="00980D12"/>
    <w:rsid w:val="00981164"/>
    <w:rsid w:val="009877C6"/>
    <w:rsid w:val="00987ACB"/>
    <w:rsid w:val="0099113A"/>
    <w:rsid w:val="0099527B"/>
    <w:rsid w:val="00996FB4"/>
    <w:rsid w:val="00997C1B"/>
    <w:rsid w:val="009A26BE"/>
    <w:rsid w:val="009A4E51"/>
    <w:rsid w:val="009A6F66"/>
    <w:rsid w:val="009B0D4B"/>
    <w:rsid w:val="009B0ED7"/>
    <w:rsid w:val="009B1139"/>
    <w:rsid w:val="009B162D"/>
    <w:rsid w:val="009B370B"/>
    <w:rsid w:val="009B68F7"/>
    <w:rsid w:val="009B6D12"/>
    <w:rsid w:val="009C09BE"/>
    <w:rsid w:val="009C260C"/>
    <w:rsid w:val="009C2D17"/>
    <w:rsid w:val="009C36AF"/>
    <w:rsid w:val="009C61F2"/>
    <w:rsid w:val="009C75E4"/>
    <w:rsid w:val="009D1360"/>
    <w:rsid w:val="009D2901"/>
    <w:rsid w:val="009D6D20"/>
    <w:rsid w:val="009E39E6"/>
    <w:rsid w:val="009E3C4C"/>
    <w:rsid w:val="009E52C8"/>
    <w:rsid w:val="00A04608"/>
    <w:rsid w:val="00A06A33"/>
    <w:rsid w:val="00A0703B"/>
    <w:rsid w:val="00A141EE"/>
    <w:rsid w:val="00A149F0"/>
    <w:rsid w:val="00A16E30"/>
    <w:rsid w:val="00A270A9"/>
    <w:rsid w:val="00A3064D"/>
    <w:rsid w:val="00A3185A"/>
    <w:rsid w:val="00A33282"/>
    <w:rsid w:val="00A349B1"/>
    <w:rsid w:val="00A35E1C"/>
    <w:rsid w:val="00A3786F"/>
    <w:rsid w:val="00A40C3E"/>
    <w:rsid w:val="00A44F11"/>
    <w:rsid w:val="00A454E2"/>
    <w:rsid w:val="00A460BB"/>
    <w:rsid w:val="00A468DE"/>
    <w:rsid w:val="00A51093"/>
    <w:rsid w:val="00A5168E"/>
    <w:rsid w:val="00A51DDB"/>
    <w:rsid w:val="00A5440C"/>
    <w:rsid w:val="00A60440"/>
    <w:rsid w:val="00A657BA"/>
    <w:rsid w:val="00A73484"/>
    <w:rsid w:val="00A740BE"/>
    <w:rsid w:val="00A74439"/>
    <w:rsid w:val="00A853A3"/>
    <w:rsid w:val="00A85C9E"/>
    <w:rsid w:val="00A90D27"/>
    <w:rsid w:val="00A94930"/>
    <w:rsid w:val="00A96DA7"/>
    <w:rsid w:val="00A971A9"/>
    <w:rsid w:val="00A97BE8"/>
    <w:rsid w:val="00A97D28"/>
    <w:rsid w:val="00AA0416"/>
    <w:rsid w:val="00AA3B26"/>
    <w:rsid w:val="00AB1BAE"/>
    <w:rsid w:val="00AB4A84"/>
    <w:rsid w:val="00AB78E4"/>
    <w:rsid w:val="00AB7D11"/>
    <w:rsid w:val="00AC0DE0"/>
    <w:rsid w:val="00AC2D8B"/>
    <w:rsid w:val="00AC3842"/>
    <w:rsid w:val="00AC665F"/>
    <w:rsid w:val="00AC7273"/>
    <w:rsid w:val="00AD0F0B"/>
    <w:rsid w:val="00AD43BE"/>
    <w:rsid w:val="00AE0A22"/>
    <w:rsid w:val="00AE560C"/>
    <w:rsid w:val="00AF1A95"/>
    <w:rsid w:val="00AF3FC8"/>
    <w:rsid w:val="00AF422D"/>
    <w:rsid w:val="00AF4E18"/>
    <w:rsid w:val="00AF7432"/>
    <w:rsid w:val="00B03B4D"/>
    <w:rsid w:val="00B044EF"/>
    <w:rsid w:val="00B05EE7"/>
    <w:rsid w:val="00B07B15"/>
    <w:rsid w:val="00B07FD0"/>
    <w:rsid w:val="00B121A6"/>
    <w:rsid w:val="00B1748D"/>
    <w:rsid w:val="00B17D02"/>
    <w:rsid w:val="00B26DB6"/>
    <w:rsid w:val="00B2715C"/>
    <w:rsid w:val="00B34DBB"/>
    <w:rsid w:val="00B423A4"/>
    <w:rsid w:val="00B43712"/>
    <w:rsid w:val="00B458CA"/>
    <w:rsid w:val="00B45F38"/>
    <w:rsid w:val="00B5012C"/>
    <w:rsid w:val="00B50491"/>
    <w:rsid w:val="00B51203"/>
    <w:rsid w:val="00B53A3D"/>
    <w:rsid w:val="00B5692A"/>
    <w:rsid w:val="00B571E0"/>
    <w:rsid w:val="00B57AA5"/>
    <w:rsid w:val="00B602C0"/>
    <w:rsid w:val="00B700BB"/>
    <w:rsid w:val="00B763C1"/>
    <w:rsid w:val="00B773AB"/>
    <w:rsid w:val="00B81A70"/>
    <w:rsid w:val="00B8455C"/>
    <w:rsid w:val="00B86431"/>
    <w:rsid w:val="00B90F30"/>
    <w:rsid w:val="00B92BA0"/>
    <w:rsid w:val="00B95E27"/>
    <w:rsid w:val="00B9667E"/>
    <w:rsid w:val="00BA09B6"/>
    <w:rsid w:val="00BA1B66"/>
    <w:rsid w:val="00BA2080"/>
    <w:rsid w:val="00BA3BA1"/>
    <w:rsid w:val="00BA3CD6"/>
    <w:rsid w:val="00BA4169"/>
    <w:rsid w:val="00BB18AE"/>
    <w:rsid w:val="00BB1C0A"/>
    <w:rsid w:val="00BB274A"/>
    <w:rsid w:val="00BC0112"/>
    <w:rsid w:val="00BC1A49"/>
    <w:rsid w:val="00BC3522"/>
    <w:rsid w:val="00BC7A69"/>
    <w:rsid w:val="00BD02EE"/>
    <w:rsid w:val="00BD044E"/>
    <w:rsid w:val="00BD1558"/>
    <w:rsid w:val="00BD492D"/>
    <w:rsid w:val="00BD4CAB"/>
    <w:rsid w:val="00BD5FA0"/>
    <w:rsid w:val="00BD7A47"/>
    <w:rsid w:val="00BE2649"/>
    <w:rsid w:val="00BE3114"/>
    <w:rsid w:val="00BE3510"/>
    <w:rsid w:val="00BF4ED7"/>
    <w:rsid w:val="00BF7203"/>
    <w:rsid w:val="00BF7E6E"/>
    <w:rsid w:val="00C023B2"/>
    <w:rsid w:val="00C02F77"/>
    <w:rsid w:val="00C06335"/>
    <w:rsid w:val="00C075DD"/>
    <w:rsid w:val="00C11A00"/>
    <w:rsid w:val="00C13342"/>
    <w:rsid w:val="00C15502"/>
    <w:rsid w:val="00C179BD"/>
    <w:rsid w:val="00C218E4"/>
    <w:rsid w:val="00C21EED"/>
    <w:rsid w:val="00C22AB7"/>
    <w:rsid w:val="00C25991"/>
    <w:rsid w:val="00C25F07"/>
    <w:rsid w:val="00C26BBD"/>
    <w:rsid w:val="00C273D1"/>
    <w:rsid w:val="00C3074B"/>
    <w:rsid w:val="00C33423"/>
    <w:rsid w:val="00C33778"/>
    <w:rsid w:val="00C33FFE"/>
    <w:rsid w:val="00C34396"/>
    <w:rsid w:val="00C3644B"/>
    <w:rsid w:val="00C40241"/>
    <w:rsid w:val="00C4186B"/>
    <w:rsid w:val="00C435C3"/>
    <w:rsid w:val="00C5079C"/>
    <w:rsid w:val="00C517C4"/>
    <w:rsid w:val="00C54936"/>
    <w:rsid w:val="00C5686E"/>
    <w:rsid w:val="00C57ABA"/>
    <w:rsid w:val="00C64583"/>
    <w:rsid w:val="00C64757"/>
    <w:rsid w:val="00C6689C"/>
    <w:rsid w:val="00C66B37"/>
    <w:rsid w:val="00C67122"/>
    <w:rsid w:val="00C70DD0"/>
    <w:rsid w:val="00C73FF4"/>
    <w:rsid w:val="00C75F69"/>
    <w:rsid w:val="00C7715F"/>
    <w:rsid w:val="00C83206"/>
    <w:rsid w:val="00C837F9"/>
    <w:rsid w:val="00C845F4"/>
    <w:rsid w:val="00C874F8"/>
    <w:rsid w:val="00C8786F"/>
    <w:rsid w:val="00C91BFC"/>
    <w:rsid w:val="00C91F2C"/>
    <w:rsid w:val="00C94841"/>
    <w:rsid w:val="00C94C35"/>
    <w:rsid w:val="00C96564"/>
    <w:rsid w:val="00C97DB9"/>
    <w:rsid w:val="00CA1830"/>
    <w:rsid w:val="00CA2158"/>
    <w:rsid w:val="00CA3B73"/>
    <w:rsid w:val="00CA51A5"/>
    <w:rsid w:val="00CB44DC"/>
    <w:rsid w:val="00CB48FE"/>
    <w:rsid w:val="00CC17A4"/>
    <w:rsid w:val="00CC1E77"/>
    <w:rsid w:val="00CC31E7"/>
    <w:rsid w:val="00CC489F"/>
    <w:rsid w:val="00CD16FD"/>
    <w:rsid w:val="00CD1BE3"/>
    <w:rsid w:val="00CD2B7E"/>
    <w:rsid w:val="00CD4E7B"/>
    <w:rsid w:val="00CD6B45"/>
    <w:rsid w:val="00CD763A"/>
    <w:rsid w:val="00CE1CDF"/>
    <w:rsid w:val="00CE22C8"/>
    <w:rsid w:val="00CE314C"/>
    <w:rsid w:val="00CE31FB"/>
    <w:rsid w:val="00CE3921"/>
    <w:rsid w:val="00CE3B5E"/>
    <w:rsid w:val="00CE6CD0"/>
    <w:rsid w:val="00CF1830"/>
    <w:rsid w:val="00CF43FF"/>
    <w:rsid w:val="00CF66CA"/>
    <w:rsid w:val="00CF6D0B"/>
    <w:rsid w:val="00D03B05"/>
    <w:rsid w:val="00D03BE5"/>
    <w:rsid w:val="00D1270D"/>
    <w:rsid w:val="00D12C4E"/>
    <w:rsid w:val="00D16374"/>
    <w:rsid w:val="00D16804"/>
    <w:rsid w:val="00D21FAC"/>
    <w:rsid w:val="00D21FDA"/>
    <w:rsid w:val="00D3282E"/>
    <w:rsid w:val="00D344D8"/>
    <w:rsid w:val="00D34DF4"/>
    <w:rsid w:val="00D36664"/>
    <w:rsid w:val="00D37D88"/>
    <w:rsid w:val="00D37E5C"/>
    <w:rsid w:val="00D44746"/>
    <w:rsid w:val="00D44916"/>
    <w:rsid w:val="00D46AB2"/>
    <w:rsid w:val="00D5018E"/>
    <w:rsid w:val="00D50905"/>
    <w:rsid w:val="00D5626C"/>
    <w:rsid w:val="00D571AE"/>
    <w:rsid w:val="00D62183"/>
    <w:rsid w:val="00D672FC"/>
    <w:rsid w:val="00D721B8"/>
    <w:rsid w:val="00D75F35"/>
    <w:rsid w:val="00D766EA"/>
    <w:rsid w:val="00D84023"/>
    <w:rsid w:val="00D845E7"/>
    <w:rsid w:val="00D85BD2"/>
    <w:rsid w:val="00D9043A"/>
    <w:rsid w:val="00D93490"/>
    <w:rsid w:val="00D93A65"/>
    <w:rsid w:val="00D945D2"/>
    <w:rsid w:val="00DA2986"/>
    <w:rsid w:val="00DA58F7"/>
    <w:rsid w:val="00DA7F12"/>
    <w:rsid w:val="00DB0687"/>
    <w:rsid w:val="00DB0E6E"/>
    <w:rsid w:val="00DB1C8F"/>
    <w:rsid w:val="00DC15F1"/>
    <w:rsid w:val="00DC2204"/>
    <w:rsid w:val="00DC3132"/>
    <w:rsid w:val="00DC38D5"/>
    <w:rsid w:val="00DC4366"/>
    <w:rsid w:val="00DC5038"/>
    <w:rsid w:val="00DC5342"/>
    <w:rsid w:val="00DC5864"/>
    <w:rsid w:val="00DD187D"/>
    <w:rsid w:val="00DD25E7"/>
    <w:rsid w:val="00DD267E"/>
    <w:rsid w:val="00DD3DC2"/>
    <w:rsid w:val="00DD46E4"/>
    <w:rsid w:val="00DD5E2D"/>
    <w:rsid w:val="00DD6D6E"/>
    <w:rsid w:val="00DE00D9"/>
    <w:rsid w:val="00DE1DD0"/>
    <w:rsid w:val="00DE269B"/>
    <w:rsid w:val="00DE2BA9"/>
    <w:rsid w:val="00DE307A"/>
    <w:rsid w:val="00DE3569"/>
    <w:rsid w:val="00DE7931"/>
    <w:rsid w:val="00DF23E5"/>
    <w:rsid w:val="00DF2D05"/>
    <w:rsid w:val="00DF4A36"/>
    <w:rsid w:val="00DF4ABD"/>
    <w:rsid w:val="00E0032F"/>
    <w:rsid w:val="00E01045"/>
    <w:rsid w:val="00E042FE"/>
    <w:rsid w:val="00E10824"/>
    <w:rsid w:val="00E11A8E"/>
    <w:rsid w:val="00E12FAB"/>
    <w:rsid w:val="00E165CB"/>
    <w:rsid w:val="00E167E3"/>
    <w:rsid w:val="00E17D75"/>
    <w:rsid w:val="00E20723"/>
    <w:rsid w:val="00E21B45"/>
    <w:rsid w:val="00E22B6D"/>
    <w:rsid w:val="00E2312C"/>
    <w:rsid w:val="00E309B4"/>
    <w:rsid w:val="00E32353"/>
    <w:rsid w:val="00E3288D"/>
    <w:rsid w:val="00E3654A"/>
    <w:rsid w:val="00E36613"/>
    <w:rsid w:val="00E37B0E"/>
    <w:rsid w:val="00E45BE2"/>
    <w:rsid w:val="00E51B85"/>
    <w:rsid w:val="00E53544"/>
    <w:rsid w:val="00E573D9"/>
    <w:rsid w:val="00E637AE"/>
    <w:rsid w:val="00E63F8B"/>
    <w:rsid w:val="00E67F1A"/>
    <w:rsid w:val="00E7101E"/>
    <w:rsid w:val="00E71813"/>
    <w:rsid w:val="00E769D4"/>
    <w:rsid w:val="00E8185B"/>
    <w:rsid w:val="00E82E20"/>
    <w:rsid w:val="00E84ABD"/>
    <w:rsid w:val="00E85613"/>
    <w:rsid w:val="00E87169"/>
    <w:rsid w:val="00E9686E"/>
    <w:rsid w:val="00EA3113"/>
    <w:rsid w:val="00EB0228"/>
    <w:rsid w:val="00EB0EA7"/>
    <w:rsid w:val="00EB216D"/>
    <w:rsid w:val="00EB3830"/>
    <w:rsid w:val="00EB40C3"/>
    <w:rsid w:val="00EB52D6"/>
    <w:rsid w:val="00EB53E3"/>
    <w:rsid w:val="00EC0175"/>
    <w:rsid w:val="00EC2C2C"/>
    <w:rsid w:val="00ED009B"/>
    <w:rsid w:val="00ED0B68"/>
    <w:rsid w:val="00ED0C1E"/>
    <w:rsid w:val="00ED138D"/>
    <w:rsid w:val="00ED1E11"/>
    <w:rsid w:val="00ED34C6"/>
    <w:rsid w:val="00ED3763"/>
    <w:rsid w:val="00EE1FB9"/>
    <w:rsid w:val="00EE2FB1"/>
    <w:rsid w:val="00EE327A"/>
    <w:rsid w:val="00EE49A3"/>
    <w:rsid w:val="00EE6171"/>
    <w:rsid w:val="00EE6A14"/>
    <w:rsid w:val="00EE785C"/>
    <w:rsid w:val="00EF0C8F"/>
    <w:rsid w:val="00EF20EC"/>
    <w:rsid w:val="00EF2872"/>
    <w:rsid w:val="00EF2BC1"/>
    <w:rsid w:val="00EF53A9"/>
    <w:rsid w:val="00EF5568"/>
    <w:rsid w:val="00EF6550"/>
    <w:rsid w:val="00F002AA"/>
    <w:rsid w:val="00F02295"/>
    <w:rsid w:val="00F033CE"/>
    <w:rsid w:val="00F03E65"/>
    <w:rsid w:val="00F0543E"/>
    <w:rsid w:val="00F069EE"/>
    <w:rsid w:val="00F07D45"/>
    <w:rsid w:val="00F1226B"/>
    <w:rsid w:val="00F1487B"/>
    <w:rsid w:val="00F14C7C"/>
    <w:rsid w:val="00F14D77"/>
    <w:rsid w:val="00F15635"/>
    <w:rsid w:val="00F15C54"/>
    <w:rsid w:val="00F17237"/>
    <w:rsid w:val="00F206D1"/>
    <w:rsid w:val="00F21770"/>
    <w:rsid w:val="00F22B40"/>
    <w:rsid w:val="00F25EEA"/>
    <w:rsid w:val="00F261A9"/>
    <w:rsid w:val="00F308EF"/>
    <w:rsid w:val="00F31F97"/>
    <w:rsid w:val="00F33207"/>
    <w:rsid w:val="00F336D3"/>
    <w:rsid w:val="00F33B68"/>
    <w:rsid w:val="00F353E0"/>
    <w:rsid w:val="00F37871"/>
    <w:rsid w:val="00F3E920"/>
    <w:rsid w:val="00F40543"/>
    <w:rsid w:val="00F464F4"/>
    <w:rsid w:val="00F46FBF"/>
    <w:rsid w:val="00F4704A"/>
    <w:rsid w:val="00F569AA"/>
    <w:rsid w:val="00F60773"/>
    <w:rsid w:val="00F6162E"/>
    <w:rsid w:val="00F61CFD"/>
    <w:rsid w:val="00F63202"/>
    <w:rsid w:val="00F640F4"/>
    <w:rsid w:val="00F65DD1"/>
    <w:rsid w:val="00F66DC1"/>
    <w:rsid w:val="00F7024C"/>
    <w:rsid w:val="00F70F3B"/>
    <w:rsid w:val="00F71063"/>
    <w:rsid w:val="00F75498"/>
    <w:rsid w:val="00F863B5"/>
    <w:rsid w:val="00F956E2"/>
    <w:rsid w:val="00F95E22"/>
    <w:rsid w:val="00F9758B"/>
    <w:rsid w:val="00F9792C"/>
    <w:rsid w:val="00F97B83"/>
    <w:rsid w:val="00FA659D"/>
    <w:rsid w:val="00FB0059"/>
    <w:rsid w:val="00FB10BE"/>
    <w:rsid w:val="00FB1D90"/>
    <w:rsid w:val="00FB21FC"/>
    <w:rsid w:val="00FB2D39"/>
    <w:rsid w:val="00FB3147"/>
    <w:rsid w:val="00FB73D9"/>
    <w:rsid w:val="00FB7858"/>
    <w:rsid w:val="00FC20AA"/>
    <w:rsid w:val="00FD0BE9"/>
    <w:rsid w:val="00FE29DF"/>
    <w:rsid w:val="00FE334A"/>
    <w:rsid w:val="00FE43C3"/>
    <w:rsid w:val="00FE70B5"/>
    <w:rsid w:val="00FF0617"/>
    <w:rsid w:val="00FF17F8"/>
    <w:rsid w:val="00FF4103"/>
    <w:rsid w:val="00FF4878"/>
    <w:rsid w:val="00FF548E"/>
    <w:rsid w:val="023A9251"/>
    <w:rsid w:val="03CB4C92"/>
    <w:rsid w:val="03FC5A03"/>
    <w:rsid w:val="041A65E3"/>
    <w:rsid w:val="04CE2380"/>
    <w:rsid w:val="05976769"/>
    <w:rsid w:val="05AB4AB0"/>
    <w:rsid w:val="05C70552"/>
    <w:rsid w:val="05F31D73"/>
    <w:rsid w:val="0681DC10"/>
    <w:rsid w:val="06A0C5E9"/>
    <w:rsid w:val="075D6C2D"/>
    <w:rsid w:val="081A3C3F"/>
    <w:rsid w:val="082F8A6B"/>
    <w:rsid w:val="0830E081"/>
    <w:rsid w:val="085161AA"/>
    <w:rsid w:val="08590E5C"/>
    <w:rsid w:val="08FACBF4"/>
    <w:rsid w:val="094D3FC2"/>
    <w:rsid w:val="09767F1C"/>
    <w:rsid w:val="0A90FF56"/>
    <w:rsid w:val="0B740481"/>
    <w:rsid w:val="0BB992A2"/>
    <w:rsid w:val="0BFB6654"/>
    <w:rsid w:val="0D1709D7"/>
    <w:rsid w:val="0D3279DE"/>
    <w:rsid w:val="0D4C46B8"/>
    <w:rsid w:val="0DD159B9"/>
    <w:rsid w:val="0E5CB807"/>
    <w:rsid w:val="0F127395"/>
    <w:rsid w:val="0F74ED65"/>
    <w:rsid w:val="101F757E"/>
    <w:rsid w:val="10CDAA38"/>
    <w:rsid w:val="10E60CD3"/>
    <w:rsid w:val="120689CA"/>
    <w:rsid w:val="122D12E4"/>
    <w:rsid w:val="12D7063B"/>
    <w:rsid w:val="134437C6"/>
    <w:rsid w:val="13AD317F"/>
    <w:rsid w:val="14AE81B6"/>
    <w:rsid w:val="14CF969E"/>
    <w:rsid w:val="153A2270"/>
    <w:rsid w:val="159C2963"/>
    <w:rsid w:val="15F5B3E8"/>
    <w:rsid w:val="16917415"/>
    <w:rsid w:val="16A4996B"/>
    <w:rsid w:val="16A97836"/>
    <w:rsid w:val="16D036DC"/>
    <w:rsid w:val="1765CDD2"/>
    <w:rsid w:val="17A60E27"/>
    <w:rsid w:val="18B16388"/>
    <w:rsid w:val="19A3B4D5"/>
    <w:rsid w:val="19C5732A"/>
    <w:rsid w:val="1A23ED45"/>
    <w:rsid w:val="1A2A44E5"/>
    <w:rsid w:val="1A54A941"/>
    <w:rsid w:val="1ABA7282"/>
    <w:rsid w:val="1B988A7A"/>
    <w:rsid w:val="1C0D4183"/>
    <w:rsid w:val="1C1F99C4"/>
    <w:rsid w:val="1C6F0E01"/>
    <w:rsid w:val="1CD94B76"/>
    <w:rsid w:val="1E3CA419"/>
    <w:rsid w:val="1FE9525C"/>
    <w:rsid w:val="204E77C7"/>
    <w:rsid w:val="20B9F95B"/>
    <w:rsid w:val="222FAC54"/>
    <w:rsid w:val="227E8C54"/>
    <w:rsid w:val="22D9AC91"/>
    <w:rsid w:val="231BF066"/>
    <w:rsid w:val="238302F4"/>
    <w:rsid w:val="24D4006D"/>
    <w:rsid w:val="25213EF6"/>
    <w:rsid w:val="25684EBA"/>
    <w:rsid w:val="25D21876"/>
    <w:rsid w:val="25D6562D"/>
    <w:rsid w:val="26545B71"/>
    <w:rsid w:val="274244DE"/>
    <w:rsid w:val="277B4D7A"/>
    <w:rsid w:val="27A1BE97"/>
    <w:rsid w:val="27D9E040"/>
    <w:rsid w:val="283F1222"/>
    <w:rsid w:val="28A57B70"/>
    <w:rsid w:val="28C3922D"/>
    <w:rsid w:val="2A15B7B0"/>
    <w:rsid w:val="2AB9D337"/>
    <w:rsid w:val="2AEFE482"/>
    <w:rsid w:val="2B78DDF3"/>
    <w:rsid w:val="2C9BC9E7"/>
    <w:rsid w:val="2CA1F095"/>
    <w:rsid w:val="2CA84989"/>
    <w:rsid w:val="2E3E02F6"/>
    <w:rsid w:val="2E8F69CD"/>
    <w:rsid w:val="2F824D18"/>
    <w:rsid w:val="2FE16D80"/>
    <w:rsid w:val="302F2BA5"/>
    <w:rsid w:val="3062E7BD"/>
    <w:rsid w:val="31456EDE"/>
    <w:rsid w:val="329681AB"/>
    <w:rsid w:val="32F6DA6D"/>
    <w:rsid w:val="33EF8B55"/>
    <w:rsid w:val="341C88D7"/>
    <w:rsid w:val="348BCC8A"/>
    <w:rsid w:val="34A1A916"/>
    <w:rsid w:val="34E94295"/>
    <w:rsid w:val="369D3E39"/>
    <w:rsid w:val="369FCA71"/>
    <w:rsid w:val="36A14DB0"/>
    <w:rsid w:val="379A4F78"/>
    <w:rsid w:val="37AF3D20"/>
    <w:rsid w:val="387AAB8A"/>
    <w:rsid w:val="39169EF8"/>
    <w:rsid w:val="3925AE50"/>
    <w:rsid w:val="394CEA56"/>
    <w:rsid w:val="39A1244E"/>
    <w:rsid w:val="3A187524"/>
    <w:rsid w:val="3A4E000E"/>
    <w:rsid w:val="3ABCBA13"/>
    <w:rsid w:val="3AE69EF3"/>
    <w:rsid w:val="3B1CA8A5"/>
    <w:rsid w:val="3B90FEBC"/>
    <w:rsid w:val="3C0ED801"/>
    <w:rsid w:val="3C4D54AF"/>
    <w:rsid w:val="3C7911BD"/>
    <w:rsid w:val="3CD9FFAE"/>
    <w:rsid w:val="3E641266"/>
    <w:rsid w:val="3E8CCFC2"/>
    <w:rsid w:val="3E8D34CC"/>
    <w:rsid w:val="3F699C65"/>
    <w:rsid w:val="3F79700A"/>
    <w:rsid w:val="401C4DFC"/>
    <w:rsid w:val="406942CE"/>
    <w:rsid w:val="4077512D"/>
    <w:rsid w:val="4112092D"/>
    <w:rsid w:val="411A6E75"/>
    <w:rsid w:val="41459274"/>
    <w:rsid w:val="41C6C97E"/>
    <w:rsid w:val="42E2E24D"/>
    <w:rsid w:val="4339AF8C"/>
    <w:rsid w:val="43A08DCE"/>
    <w:rsid w:val="44798DD9"/>
    <w:rsid w:val="45ADCCC1"/>
    <w:rsid w:val="4613CD96"/>
    <w:rsid w:val="468B29DE"/>
    <w:rsid w:val="46BBE57C"/>
    <w:rsid w:val="47CB3B8F"/>
    <w:rsid w:val="47CC5588"/>
    <w:rsid w:val="48FFC724"/>
    <w:rsid w:val="49814516"/>
    <w:rsid w:val="49E35F72"/>
    <w:rsid w:val="4A013634"/>
    <w:rsid w:val="4AE8B138"/>
    <w:rsid w:val="4B20D136"/>
    <w:rsid w:val="4B2785E5"/>
    <w:rsid w:val="4B590C56"/>
    <w:rsid w:val="4CA3557E"/>
    <w:rsid w:val="4CFB35AB"/>
    <w:rsid w:val="4D203B13"/>
    <w:rsid w:val="4DB83595"/>
    <w:rsid w:val="4E9C2EDE"/>
    <w:rsid w:val="4ECABD2F"/>
    <w:rsid w:val="4F010DF2"/>
    <w:rsid w:val="4F0E0072"/>
    <w:rsid w:val="4FC8FF63"/>
    <w:rsid w:val="503564B9"/>
    <w:rsid w:val="50C1A6D7"/>
    <w:rsid w:val="5142293A"/>
    <w:rsid w:val="5160349C"/>
    <w:rsid w:val="5182BF73"/>
    <w:rsid w:val="518B0B3B"/>
    <w:rsid w:val="51B09969"/>
    <w:rsid w:val="52D0E211"/>
    <w:rsid w:val="52D5AD31"/>
    <w:rsid w:val="52F9AB4B"/>
    <w:rsid w:val="5338FF0A"/>
    <w:rsid w:val="546C45D8"/>
    <w:rsid w:val="562E04D2"/>
    <w:rsid w:val="565AA1E4"/>
    <w:rsid w:val="56B9A7ED"/>
    <w:rsid w:val="57A2F260"/>
    <w:rsid w:val="57A3D358"/>
    <w:rsid w:val="586FC444"/>
    <w:rsid w:val="58B79778"/>
    <w:rsid w:val="59A52484"/>
    <w:rsid w:val="5A4402AD"/>
    <w:rsid w:val="5A82BEC2"/>
    <w:rsid w:val="5AD76045"/>
    <w:rsid w:val="5BE4EDCF"/>
    <w:rsid w:val="5C479FA7"/>
    <w:rsid w:val="5C5B542C"/>
    <w:rsid w:val="5C80D12F"/>
    <w:rsid w:val="5D0548A2"/>
    <w:rsid w:val="5D7D81ED"/>
    <w:rsid w:val="5E4098FE"/>
    <w:rsid w:val="5E730F45"/>
    <w:rsid w:val="5F32BC44"/>
    <w:rsid w:val="5F8CFD18"/>
    <w:rsid w:val="5FD1F2A6"/>
    <w:rsid w:val="6155A3FC"/>
    <w:rsid w:val="61D4E364"/>
    <w:rsid w:val="61F73EF7"/>
    <w:rsid w:val="62AD4C37"/>
    <w:rsid w:val="62CA7C70"/>
    <w:rsid w:val="62ECC852"/>
    <w:rsid w:val="64FBFF61"/>
    <w:rsid w:val="6518DF85"/>
    <w:rsid w:val="65307350"/>
    <w:rsid w:val="6558DE46"/>
    <w:rsid w:val="66176DAB"/>
    <w:rsid w:val="6635A3EB"/>
    <w:rsid w:val="667740DB"/>
    <w:rsid w:val="66EC923B"/>
    <w:rsid w:val="67D7CD40"/>
    <w:rsid w:val="68159024"/>
    <w:rsid w:val="683FC452"/>
    <w:rsid w:val="68A1B523"/>
    <w:rsid w:val="68C77860"/>
    <w:rsid w:val="68FFE2C8"/>
    <w:rsid w:val="69A1D944"/>
    <w:rsid w:val="6AC6B691"/>
    <w:rsid w:val="6ACF6F41"/>
    <w:rsid w:val="6B392273"/>
    <w:rsid w:val="6B47DF84"/>
    <w:rsid w:val="6BA78E64"/>
    <w:rsid w:val="6BABB382"/>
    <w:rsid w:val="6BBD0705"/>
    <w:rsid w:val="6BC239E6"/>
    <w:rsid w:val="6C326658"/>
    <w:rsid w:val="6C32F9B1"/>
    <w:rsid w:val="6D15D4FE"/>
    <w:rsid w:val="6D1E3705"/>
    <w:rsid w:val="6D745504"/>
    <w:rsid w:val="6D78204C"/>
    <w:rsid w:val="6D798C28"/>
    <w:rsid w:val="6DF2C3F8"/>
    <w:rsid w:val="6E799BEC"/>
    <w:rsid w:val="6ED68C48"/>
    <w:rsid w:val="6F01C2C1"/>
    <w:rsid w:val="6F481323"/>
    <w:rsid w:val="6F5EC1ED"/>
    <w:rsid w:val="6F6F1B6E"/>
    <w:rsid w:val="6F7ECC87"/>
    <w:rsid w:val="6F7EF220"/>
    <w:rsid w:val="6F88A226"/>
    <w:rsid w:val="6F953162"/>
    <w:rsid w:val="6FAF77BD"/>
    <w:rsid w:val="6FD4E809"/>
    <w:rsid w:val="6FFA33E1"/>
    <w:rsid w:val="70D6C3CA"/>
    <w:rsid w:val="7132B165"/>
    <w:rsid w:val="71423795"/>
    <w:rsid w:val="71466B7A"/>
    <w:rsid w:val="719CF360"/>
    <w:rsid w:val="71D5F09F"/>
    <w:rsid w:val="732ADB46"/>
    <w:rsid w:val="73AB84D3"/>
    <w:rsid w:val="74D55382"/>
    <w:rsid w:val="75648544"/>
    <w:rsid w:val="757A8603"/>
    <w:rsid w:val="75A06048"/>
    <w:rsid w:val="75B0AFE0"/>
    <w:rsid w:val="76B9E971"/>
    <w:rsid w:val="76C2E62A"/>
    <w:rsid w:val="770E9BAF"/>
    <w:rsid w:val="773FFEA3"/>
    <w:rsid w:val="774CCD45"/>
    <w:rsid w:val="7768BDCF"/>
    <w:rsid w:val="77692E2B"/>
    <w:rsid w:val="778ADAFB"/>
    <w:rsid w:val="77B00EA9"/>
    <w:rsid w:val="7817C75E"/>
    <w:rsid w:val="793D8ECE"/>
    <w:rsid w:val="7980CF87"/>
    <w:rsid w:val="79F9BD9E"/>
    <w:rsid w:val="7A658AF1"/>
    <w:rsid w:val="7AA8770E"/>
    <w:rsid w:val="7ACCCE74"/>
    <w:rsid w:val="7B55B447"/>
    <w:rsid w:val="7BE13EB0"/>
    <w:rsid w:val="7CE96010"/>
    <w:rsid w:val="7E7448C4"/>
    <w:rsid w:val="7EEA180B"/>
    <w:rsid w:val="7F6AF5DD"/>
    <w:rsid w:val="7F6EE33B"/>
    <w:rsid w:val="7FB820B8"/>
    <w:rsid w:val="7FC50B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7CC0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TextLeft0Hanging025">
    <w:name w:val="Style Heading 1 Text + Left:  0&quot; Hanging:  0.25&quot;"/>
    <w:basedOn w:val="Normal"/>
    <w:rsid w:val="004A7B8C"/>
    <w:pPr>
      <w:tabs>
        <w:tab w:val="left" w:pos="720"/>
      </w:tabs>
      <w:spacing w:after="0" w:line="480" w:lineRule="atLeast"/>
      <w:ind w:left="576" w:hanging="576"/>
    </w:pPr>
    <w:rPr>
      <w:rFonts w:ascii="Times New Roman" w:eastAsia="Times New Roman" w:hAnsi="Times New Roman" w:cs="Times New Roman"/>
      <w:kern w:val="0"/>
      <w:sz w:val="24"/>
      <w:szCs w:val="20"/>
      <w14:ligatures w14:val="none"/>
    </w:rPr>
  </w:style>
  <w:style w:type="table" w:styleId="TableGrid">
    <w:name w:val="Table Grid"/>
    <w:basedOn w:val="TableNormal"/>
    <w:uiPriority w:val="59"/>
    <w:rsid w:val="0047167A"/>
    <w:pPr>
      <w:spacing w:after="0" w:line="240" w:lineRule="auto"/>
    </w:pPr>
    <w:rPr>
      <w:rFonts w:ascii="Times" w:eastAsia="Times New Roman" w:hAnsi="Times"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3AB"/>
    <w:pPr>
      <w:ind w:left="720"/>
      <w:contextualSpacing/>
    </w:pPr>
    <w:rPr>
      <w:kern w:val="0"/>
      <w14:ligatures w14:val="none"/>
    </w:rPr>
  </w:style>
  <w:style w:type="paragraph" w:styleId="FootnoteText">
    <w:name w:val="footnote text"/>
    <w:basedOn w:val="Normal"/>
    <w:link w:val="FootnoteTextChar"/>
    <w:uiPriority w:val="99"/>
    <w:semiHidden/>
    <w:unhideWhenUsed/>
    <w:rsid w:val="00DC4366"/>
    <w:pPr>
      <w:spacing w:after="0" w:line="240" w:lineRule="auto"/>
    </w:pPr>
    <w:rPr>
      <w:rFonts w:eastAsiaTheme="minorEastAsia"/>
      <w:kern w:val="0"/>
      <w:sz w:val="20"/>
      <w:szCs w:val="20"/>
      <w:lang w:eastAsia="ko-KR"/>
      <w14:ligatures w14:val="none"/>
    </w:rPr>
  </w:style>
  <w:style w:type="character" w:customStyle="1" w:styleId="FootnoteTextChar">
    <w:name w:val="Footnote Text Char"/>
    <w:basedOn w:val="DefaultParagraphFont"/>
    <w:link w:val="FootnoteText"/>
    <w:uiPriority w:val="99"/>
    <w:semiHidden/>
    <w:rsid w:val="00DC4366"/>
    <w:rPr>
      <w:rFonts w:eastAsiaTheme="minorEastAsia"/>
      <w:kern w:val="0"/>
      <w:sz w:val="20"/>
      <w:szCs w:val="20"/>
      <w:lang w:eastAsia="ko-KR"/>
      <w14:ligatures w14:val="none"/>
    </w:rPr>
  </w:style>
  <w:style w:type="character" w:styleId="FootnoteReference">
    <w:name w:val="footnote reference"/>
    <w:basedOn w:val="DefaultParagraphFont"/>
    <w:uiPriority w:val="99"/>
    <w:semiHidden/>
    <w:unhideWhenUsed/>
    <w:rsid w:val="00DC4366"/>
    <w:rPr>
      <w:vertAlign w:val="superscript"/>
    </w:rPr>
  </w:style>
  <w:style w:type="character" w:styleId="CommentReference">
    <w:name w:val="annotation reference"/>
    <w:basedOn w:val="DefaultParagraphFont"/>
    <w:uiPriority w:val="99"/>
    <w:semiHidden/>
    <w:unhideWhenUsed/>
    <w:rsid w:val="008C71D2"/>
    <w:rPr>
      <w:sz w:val="16"/>
      <w:szCs w:val="16"/>
    </w:rPr>
  </w:style>
  <w:style w:type="paragraph" w:styleId="CommentText">
    <w:name w:val="annotation text"/>
    <w:basedOn w:val="Normal"/>
    <w:link w:val="CommentTextChar"/>
    <w:uiPriority w:val="99"/>
    <w:unhideWhenUsed/>
    <w:rsid w:val="008C71D2"/>
    <w:pPr>
      <w:spacing w:line="240" w:lineRule="auto"/>
    </w:pPr>
    <w:rPr>
      <w:sz w:val="20"/>
      <w:szCs w:val="20"/>
    </w:rPr>
  </w:style>
  <w:style w:type="character" w:customStyle="1" w:styleId="CommentTextChar">
    <w:name w:val="Comment Text Char"/>
    <w:basedOn w:val="DefaultParagraphFont"/>
    <w:link w:val="CommentText"/>
    <w:uiPriority w:val="99"/>
    <w:rsid w:val="008C71D2"/>
    <w:rPr>
      <w:sz w:val="20"/>
      <w:szCs w:val="20"/>
    </w:rPr>
  </w:style>
  <w:style w:type="paragraph" w:styleId="CommentSubject">
    <w:name w:val="annotation subject"/>
    <w:basedOn w:val="CommentText"/>
    <w:next w:val="CommentText"/>
    <w:link w:val="CommentSubjectChar"/>
    <w:uiPriority w:val="99"/>
    <w:semiHidden/>
    <w:unhideWhenUsed/>
    <w:rsid w:val="008C71D2"/>
    <w:rPr>
      <w:b/>
      <w:bCs/>
    </w:rPr>
  </w:style>
  <w:style w:type="character" w:customStyle="1" w:styleId="CommentSubjectChar">
    <w:name w:val="Comment Subject Char"/>
    <w:basedOn w:val="CommentTextChar"/>
    <w:link w:val="CommentSubject"/>
    <w:uiPriority w:val="99"/>
    <w:semiHidden/>
    <w:rsid w:val="008C71D2"/>
    <w:rPr>
      <w:b/>
      <w:bCs/>
      <w:sz w:val="20"/>
      <w:szCs w:val="20"/>
    </w:rPr>
  </w:style>
  <w:style w:type="paragraph" w:styleId="Header">
    <w:name w:val="header"/>
    <w:basedOn w:val="Normal"/>
    <w:link w:val="HeaderChar"/>
    <w:uiPriority w:val="99"/>
    <w:unhideWhenUsed/>
    <w:rsid w:val="00245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309"/>
  </w:style>
  <w:style w:type="paragraph" w:styleId="Footer">
    <w:name w:val="footer"/>
    <w:basedOn w:val="Normal"/>
    <w:link w:val="FooterChar"/>
    <w:uiPriority w:val="99"/>
    <w:unhideWhenUsed/>
    <w:rsid w:val="00245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309"/>
  </w:style>
  <w:style w:type="paragraph" w:styleId="Revision">
    <w:name w:val="Revision"/>
    <w:hidden/>
    <w:uiPriority w:val="99"/>
    <w:semiHidden/>
    <w:rsid w:val="0039755A"/>
    <w:pPr>
      <w:spacing w:after="0" w:line="240" w:lineRule="auto"/>
    </w:pPr>
  </w:style>
  <w:style w:type="character" w:styleId="Mention">
    <w:name w:val="Mention"/>
    <w:basedOn w:val="DefaultParagraphFont"/>
    <w:uiPriority w:val="99"/>
    <w:unhideWhenUsed/>
    <w:rsid w:val="009B113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724487">
      <w:bodyDiv w:val="1"/>
      <w:marLeft w:val="0"/>
      <w:marRight w:val="0"/>
      <w:marTop w:val="0"/>
      <w:marBottom w:val="0"/>
      <w:divBdr>
        <w:top w:val="none" w:sz="0" w:space="0" w:color="auto"/>
        <w:left w:val="none" w:sz="0" w:space="0" w:color="auto"/>
        <w:bottom w:val="none" w:sz="0" w:space="0" w:color="auto"/>
        <w:right w:val="none" w:sz="0" w:space="0" w:color="auto"/>
      </w:divBdr>
    </w:div>
    <w:div w:id="197324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95A606AD833B4CAF5492001C3FEC9A" ma:contentTypeVersion="18" ma:contentTypeDescription="Create a new document." ma:contentTypeScope="" ma:versionID="21f0c37e10e65854f8775dfe5b7aaaf8">
  <xsd:schema xmlns:xsd="http://www.w3.org/2001/XMLSchema" xmlns:xs="http://www.w3.org/2001/XMLSchema" xmlns:p="http://schemas.microsoft.com/office/2006/metadata/properties" xmlns:ns2="afa18e8f-ebf2-4add-8c07-5fe7df620b1e" xmlns:ns3="8b53dea2-0b53-4bb6-a2b4-50a02dbb388d" xmlns:ns4="e45da448-bf9c-43e8-8676-7e88d583ded9" targetNamespace="http://schemas.microsoft.com/office/2006/metadata/properties" ma:root="true" ma:fieldsID="798bb75124edff253fce12863452ee7b" ns2:_="" ns3:_="" ns4:_="">
    <xsd:import namespace="afa18e8f-ebf2-4add-8c07-5fe7df620b1e"/>
    <xsd:import namespace="8b53dea2-0b53-4bb6-a2b4-50a02dbb388d"/>
    <xsd:import namespace="e45da448-bf9c-43e8-8676-7e88d583de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18e8f-ebf2-4add-8c07-5fe7df62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da7e81d-6ea8-45c5-b51f-f6fb8dd5843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53dea2-0b53-4bb6-a2b4-50a02dbb388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da448-bf9c-43e8-8676-7e88d583ded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bd0721-81e9-4642-a2b7-22607de5e93b}" ma:internalName="TaxCatchAll" ma:showField="CatchAllData" ma:web="8b53dea2-0b53-4bb6-a2b4-50a02dbb38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1F184D-4D49-419B-973B-E52B38B1CA89}">
  <ds:schemaRefs>
    <ds:schemaRef ds:uri="http://schemas.microsoft.com/sharepoint/v3/contenttype/forms"/>
  </ds:schemaRefs>
</ds:datastoreItem>
</file>

<file path=customXml/itemProps2.xml><?xml version="1.0" encoding="utf-8"?>
<ds:datastoreItem xmlns:ds="http://schemas.openxmlformats.org/officeDocument/2006/customXml" ds:itemID="{523BBB6E-D0D5-40ED-B89E-56D37D5F7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18e8f-ebf2-4add-8c07-5fe7df620b1e"/>
    <ds:schemaRef ds:uri="8b53dea2-0b53-4bb6-a2b4-50a02dbb388d"/>
    <ds:schemaRef ds:uri="e45da448-bf9c-43e8-8676-7e88d583d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8974</Words>
  <Characters>51152</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2024-11-04T18:49:00Z</dcterms:created>
  <dcterms:modified xsi:type="dcterms:W3CDTF">2024-11-04T18:50:00Z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3dd1c7-2c40-4a31-84b2-bec599b321a0_Enabled">
    <vt:lpwstr>true</vt:lpwstr>
  </property>
  <property fmtid="{D5CDD505-2E9C-101B-9397-08002B2CF9AE}" pid="3" name="MSIP_Label_bc3dd1c7-2c40-4a31-84b2-bec599b321a0_SetDate">
    <vt:lpwstr>2024-05-23T17:12:23Z</vt:lpwstr>
  </property>
  <property fmtid="{D5CDD505-2E9C-101B-9397-08002B2CF9AE}" pid="4" name="MSIP_Label_bc3dd1c7-2c40-4a31-84b2-bec599b321a0_Method">
    <vt:lpwstr>Standard</vt:lpwstr>
  </property>
  <property fmtid="{D5CDD505-2E9C-101B-9397-08002B2CF9AE}" pid="5" name="MSIP_Label_bc3dd1c7-2c40-4a31-84b2-bec599b321a0_Name">
    <vt:lpwstr>bc3dd1c7-2c40-4a31-84b2-bec599b321a0</vt:lpwstr>
  </property>
  <property fmtid="{D5CDD505-2E9C-101B-9397-08002B2CF9AE}" pid="6" name="MSIP_Label_bc3dd1c7-2c40-4a31-84b2-bec599b321a0_SiteId">
    <vt:lpwstr>5b2a8fee-4c95-4bdc-8aae-196f8aacb1b6</vt:lpwstr>
  </property>
  <property fmtid="{D5CDD505-2E9C-101B-9397-08002B2CF9AE}" pid="7" name="MSIP_Label_bc3dd1c7-2c40-4a31-84b2-bec599b321a0_ActionId">
    <vt:lpwstr>314628c8-d3a5-4efe-b5a9-a333de883e53</vt:lpwstr>
  </property>
  <property fmtid="{D5CDD505-2E9C-101B-9397-08002B2CF9AE}" pid="8" name="MSIP_Label_bc3dd1c7-2c40-4a31-84b2-bec599b321a0_ContentBits">
    <vt:lpwstr>0</vt:lpwstr>
  </property>
</Properties>
</file>